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66.png" ContentType="image/png"/>
  <Override PartName="/word/media/rId63.png" ContentType="image/png"/>
  <Override PartName="/word/media/rId74.png" ContentType="image/png"/>
  <Override PartName="/word/media/rId73.png" ContentType="image/png"/>
  <Override PartName="/word/media/rId64.png" ContentType="image/png"/>
  <Override PartName="/word/media/rId59.png" ContentType="image/png"/>
  <Override PartName="/word/media/rId71.png" ContentType="image/png"/>
  <Override PartName="/word/media/rId62.png" ContentType="image/png"/>
  <Override PartName="/word/media/rId52.png" ContentType="image/png"/>
  <Override PartName="/word/media/rId54.png" ContentType="image/png"/>
  <Override PartName="/word/media/rId69.png" ContentType="image/png"/>
  <Override PartName="/word/media/rId50.png" ContentType="image/png"/>
  <Override PartName="/word/media/rId49.png" ContentType="image/png"/>
  <Override PartName="/word/media/rId47.png" ContentType="image/png"/>
  <Override PartName="/word/media/rId46.png" ContentType="image/png"/>
  <Override PartName="/word/media/rId44.png" ContentType="image/png"/>
  <Override PartName="/word/media/rId57.png" ContentType="image/png"/>
  <Override PartName="/word/media/rId41.png" ContentType="image/png"/>
  <Override PartName="/word/media/rId67.png" ContentType="image/png"/>
  <Override PartName="/word/media/rId68.png" ContentType="image/png"/>
  <Override PartName="/word/media/image29.png" ContentType="image/png"/>
  <Override PartName="/word/media/image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t xml:space="preserve">Placeholder</w:t>
      </w:r>
    </w:p>
    <w:p>
      <w:pPr>
        <w:pStyle w:val="Heading3"/>
      </w:pPr>
      <w:bookmarkStart w:id="21" w:name="aqueous-natural-organic-matter"/>
      <w:r>
        <w:t xml:space="preserve">Aqueous natural organic matter</w:t>
      </w:r>
      <w:bookmarkEnd w:id="21"/>
    </w:p>
    <w:p>
      <w:pPr>
        <w:pStyle w:val="Heading3"/>
      </w:pPr>
      <w:bookmarkStart w:id="22" w:name="watershed-processes-and-water-quality"/>
      <w:r>
        <w:t xml:space="preserve">Watershed processes and water quality</w:t>
      </w:r>
      <w:bookmarkEnd w:id="22"/>
    </w:p>
    <w:p>
      <w:pPr>
        <w:pStyle w:val="Heading4"/>
      </w:pPr>
      <w:bookmarkStart w:id="23" w:name="X1c8b1846ec8827e81bf11c20cacd4a3ed2cc375"/>
      <w:r>
        <w:t xml:space="preserve">Source water quality considerations Greater Victoria’s water supply areas</w:t>
      </w:r>
      <w:bookmarkEnd w:id="23"/>
    </w:p>
    <w:p>
      <w:pPr>
        <w:pStyle w:val="Heading3"/>
      </w:pPr>
      <w:bookmarkStart w:id="24" w:name="research-objectives"/>
      <w:r>
        <w:t xml:space="preserve">Research objectives</w:t>
      </w:r>
      <w:bookmarkEnd w:id="24"/>
    </w:p>
    <w:p>
      <w:pPr>
        <w:pStyle w:val="Heading2"/>
      </w:pPr>
      <w:bookmarkStart w:id="25" w:name="methods"/>
      <w:r>
        <w:t xml:space="preserve">Methods</w:t>
      </w:r>
      <w:bookmarkEnd w:id="25"/>
    </w:p>
    <w:p>
      <w:pPr>
        <w:pStyle w:val="Heading3"/>
      </w:pPr>
      <w:bookmarkStart w:id="26" w:name="study-site-leech-river-watershed"/>
      <w:r>
        <w:t xml:space="preserve">Study Site: Leech River Watershed</w:t>
      </w:r>
      <w:bookmarkEnd w:id="26"/>
    </w:p>
    <w:p>
      <w:pPr>
        <w:pStyle w:val="Heading4"/>
      </w:pPr>
      <w:bookmarkStart w:id="27" w:name="climate-weather-forests"/>
      <w:r>
        <w:t xml:space="preserve">Climate, Weather, Forests</w:t>
      </w:r>
      <w:bookmarkEnd w:id="27"/>
    </w:p>
    <w:p>
      <w:pPr>
        <w:pStyle w:val="Heading3"/>
      </w:pPr>
      <w:bookmarkStart w:id="28" w:name="river-sampling"/>
      <w:r>
        <w:t xml:space="preserve">River sampling</w:t>
      </w:r>
      <w:bookmarkEnd w:id="28"/>
    </w:p>
    <w:p>
      <w:pPr>
        <w:pStyle w:val="Heading4"/>
      </w:pPr>
      <w:bookmarkStart w:id="29" w:name="synoptic-sampling"/>
      <w:r>
        <w:t xml:space="preserve">Synoptic sampling</w:t>
      </w:r>
      <w:bookmarkEnd w:id="29"/>
    </w:p>
    <w:p>
      <w:pPr>
        <w:pStyle w:val="Heading4"/>
      </w:pPr>
      <w:bookmarkStart w:id="30" w:name="MethodsNestedCatch"/>
      <w:r>
        <w:t xml:space="preserve">Sampling across nested catchments of the Leech watershed</w:t>
      </w:r>
      <w:bookmarkEnd w:id="30"/>
    </w:p>
    <w:p>
      <w:pPr>
        <w:pStyle w:val="Heading5"/>
      </w:pPr>
      <w:bookmarkStart w:id="31" w:name="installations"/>
      <w:r>
        <w:t xml:space="preserve">Installations</w:t>
      </w:r>
      <w:bookmarkEnd w:id="31"/>
    </w:p>
    <w:p>
      <w:pPr>
        <w:pStyle w:val="Heading3"/>
      </w:pPr>
      <w:bookmarkStart w:id="32" w:name="analytical-techniques-data-handling"/>
      <w:r>
        <w:t xml:space="preserve">Analytical techniques &amp; data handling</w:t>
      </w:r>
      <w:bookmarkEnd w:id="32"/>
    </w:p>
    <w:p>
      <w:pPr>
        <w:pStyle w:val="Heading4"/>
      </w:pPr>
      <w:bookmarkStart w:id="33" w:name="X11d4bdebbabfc52989182cb9a32e289da31c756"/>
      <w:r>
        <w:t xml:space="preserve">Dissolved organic carbon (DOC) concentration and characterization</w:t>
      </w:r>
      <w:bookmarkEnd w:id="33"/>
    </w:p>
    <w:p>
      <w:pPr>
        <w:pStyle w:val="Heading5"/>
      </w:pPr>
      <w:bookmarkStart w:id="34" w:name="suva254"/>
      <w:r>
        <w:t xml:space="preserve">SUVA</w:t>
      </w:r>
      <w:r>
        <w:rPr>
          <w:vertAlign w:val="subscript"/>
        </w:rPr>
        <w:t xml:space="preserve">254</w:t>
      </w:r>
      <w:bookmarkEnd w:id="34"/>
    </w:p>
    <w:p>
      <w:pPr>
        <w:pStyle w:val="Heading5"/>
      </w:pPr>
      <w:bookmarkStart w:id="35" w:name="spectral-indices-of-nom-character"/>
      <w:r>
        <w:t xml:space="preserve">Spectral indices of NOM character</w:t>
      </w:r>
      <w:bookmarkEnd w:id="35"/>
    </w:p>
    <w:p>
      <w:pPr>
        <w:pStyle w:val="Heading4"/>
      </w:pPr>
      <w:bookmarkStart w:id="36" w:name="quality-assurance-quality-control"/>
      <w:r>
        <w:t xml:space="preserve">Quality Assurance &amp; Quality Control</w:t>
      </w:r>
      <w:bookmarkEnd w:id="36"/>
    </w:p>
    <w:p>
      <w:pPr>
        <w:pStyle w:val="Heading5"/>
      </w:pPr>
      <w:bookmarkStart w:id="37" w:name="Xb49dd4c0b515bc8a91642612f15dfcdf94bc60b"/>
      <w:r>
        <w:t xml:space="preserve">Siphon sampler assumptions: vertical rack sampling</w:t>
      </w:r>
      <w:bookmarkEnd w:id="37"/>
    </w:p>
    <w:p>
      <w:pPr>
        <w:pStyle w:val="Heading5"/>
      </w:pPr>
      <w:bookmarkStart w:id="38" w:name="X18414ca0ac976bec608d87f335c5387fae6ac47"/>
      <w:r>
        <w:t xml:space="preserve">Sample hold-times and temperatures: vertical rack sampling</w:t>
      </w:r>
      <w:bookmarkEnd w:id="38"/>
    </w:p>
    <w:p>
      <w:pPr>
        <w:pStyle w:val="Heading2"/>
      </w:pPr>
      <w:bookmarkStart w:id="39" w:name="results"/>
      <w:r>
        <w:t xml:space="preserve">Results</w:t>
      </w:r>
      <w:bookmarkEnd w:id="39"/>
    </w:p>
    <w:p>
      <w:pPr>
        <w:pStyle w:val="Heading3"/>
      </w:pPr>
      <w:bookmarkStart w:id="40" w:name="Xf03249ddafa1d2a683b9220335a3b696c05a3f3"/>
      <w:r>
        <w:t xml:space="preserve">Weather: precipitation and temperature from CRD weather stations</w:t>
      </w:r>
      <w:bookmarkEnd w:id="40"/>
    </w:p>
    <w:p>
      <w:pPr>
        <w:pStyle w:val="FirstParagraph"/>
      </w:pPr>
      <w:r>
        <w:t xml:space="preserve">The Capital Regional District (CRD) provided data from two fire-weather (</w:t>
      </w:r>
      <w:r>
        <w:t xml:space="preserve">“</w:t>
      </w:r>
      <w:r>
        <w:t xml:space="preserve">FWx</w:t>
      </w:r>
      <w:r>
        <w:t xml:space="preserve">”</w:t>
      </w:r>
      <w:r>
        <w:t xml:space="preserve">)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w:t>
      </w:r>
      <w:r>
        <w:t xml:space="preserve"> </w:t>
      </w:r>
      <w:r>
        <w:t xml:space="preserve">1</w:t>
      </w:r>
      <w:r>
        <w:t xml:space="preserve">, with the study period highlighted.</w:t>
      </w:r>
    </w:p>
    <w:p>
      <w:pPr>
        <w:pStyle w:val="BodyText"/>
      </w:pPr>
      <w:r>
        <w:t xml:space="preserve"> </w:t>
      </w:r>
    </w:p>
    <w:p>
      <w:pPr>
        <w:pStyle w:val="BodyText"/>
      </w:pPr>
      <w:r>
        <w:drawing>
          <wp:inline>
            <wp:extent cx="5504749" cy="5504749"/>
            <wp:effectExtent b="0" l="0" r="0" t="0"/>
            <wp:docPr descr="Figure 1: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41"/>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Table</w:t>
      </w:r>
      <w:r>
        <w:t xml:space="preserve"> </w:t>
      </w:r>
      <w:r>
        <w:t xml:space="preserve">1</w:t>
      </w:r>
      <w:r>
        <w:t xml:space="preserve"> </w:t>
      </w:r>
      <w:r>
        <w:t xml:space="preserve">summarizes weather data by calender year, as well as the very wet period of January and February, 2020. It was assumed that the arithmetic means of rainfall were representative of rain conditions across the Leech watershed and these values were used to define rain events (section</w:t>
      </w:r>
      <w:r>
        <w:t xml:space="preserve"> </w:t>
      </w:r>
      <w:r>
        <w:t xml:space="preserve">1.2.1.0.1</w:t>
      </w:r>
      <w:r>
        <w:t xml:space="preserve">). Mean LWSA temperatures were compared to temperatures recorded at each installation site (section</w:t>
      </w:r>
      <w:r>
        <w:t xml:space="preserve"> </w:t>
      </w:r>
      <w:r>
        <w:t xml:space="preserve">1.2.1.2</w:t>
      </w:r>
      <w:r>
        <w:t xml:space="preserve">). As the CRD FWx stations are situated at elevation, snow depth records were not assumed to be representative of snow cover across the LWSA; however, snow melt contributed to runoff and recorded stage change at the six installation sites.</w:t>
      </w:r>
    </w:p>
    <w:p>
      <w:pPr>
        <w:pStyle w:val="BodyText"/>
      </w:pPr>
      <w:r>
        <w:t xml:space="preserve"> </w:t>
      </w:r>
    </w:p>
    <w:p>
      <w:pPr>
        <w:pStyle w:val="TableCaption"/>
      </w:pPr>
      <w:r>
        <w:t xml:space="preserve">Table 1:</w:t>
      </w:r>
      <w:r>
        <w:t xml:space="preserve"> </w:t>
      </w:r>
      <w:r>
        <w:rPr>
          <w:i/>
        </w:rPr>
        <w:t xml:space="preserve">Average weather data from CRD stations in Leech water supply area in 2018 and 2019</w:t>
      </w:r>
    </w:p>
    <w:tbl>
      <w:tblPr>
        <w:tblStyle w:val="Table"/>
        <w:tblW w:type="pct" w:w="0.0"/>
        <w:tblLook w:firstRow="1"/>
        <w:tblCaption w:val="Table 1: Average weather data from CRD stations in Leech water supply area in 2018 and 2019"/>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accum.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st.dev temp.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max.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3.09</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3.09</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 &amp; Feb 2020</w:t>
            </w:r>
          </w:p>
        </w:tc>
        <w:tc>
          <w:p>
            <w:pPr>
              <w:pStyle w:val="Compact"/>
              <w:jc w:val="right"/>
            </w:pPr>
            <w:r>
              <w:t xml:space="preserve">883.8</w:t>
            </w:r>
          </w:p>
        </w:tc>
        <w:tc>
          <w:p>
            <w:pPr>
              <w:pStyle w:val="Compact"/>
              <w:jc w:val="right"/>
            </w:pPr>
            <w:r>
              <w:t xml:space="preserve">65.8</w:t>
            </w:r>
          </w:p>
        </w:tc>
        <w:tc>
          <w:p>
            <w:pPr>
              <w:pStyle w:val="Compact"/>
              <w:jc w:val="right"/>
            </w:pPr>
            <w:r>
              <w:t xml:space="preserve">3.09</w:t>
            </w:r>
          </w:p>
        </w:tc>
        <w:tc>
          <w:p>
            <w:pPr>
              <w:pStyle w:val="Compact"/>
              <w:jc w:val="right"/>
            </w:pPr>
            <w:r>
              <w:t xml:space="preserve">1.90</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5"/>
      </w:pPr>
      <w:bookmarkStart w:id="42" w:name="events"/>
      <w:r>
        <w:t xml:space="preserve">Rain events</w:t>
      </w:r>
      <w:bookmarkEnd w:id="42"/>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2</w:t>
      </w:r>
      <w:r>
        <w:t xml:space="preserve"> </w:t>
      </w:r>
      <w:r>
        <w:t xml:space="preserve">summarizes the eighteen major rain events that occurred during the study period (2018-10-23 to 2020-02-20).</w:t>
      </w:r>
    </w:p>
    <w:p>
      <w:pPr>
        <w:pStyle w:val="BodyText"/>
      </w:pPr>
      <w:r>
        <w:t xml:space="preserve"> </w:t>
      </w:r>
    </w:p>
    <w:p>
      <w:pPr>
        <w:pStyle w:val="TableCaption"/>
      </w:pPr>
      <w:r>
        <w:t xml:space="preserve">Table 2:</w:t>
      </w:r>
      <w:r>
        <w:t xml:space="preserve"> </w:t>
      </w:r>
      <w:r>
        <w:rPr>
          <w:i/>
        </w:rPr>
        <w:t xml:space="preserve">Rain events defined by a threshold of 50mm with 14-hour inter-event period</w:t>
      </w:r>
    </w:p>
    <w:tbl>
      <w:tblPr>
        <w:tblStyle w:val="Table"/>
        <w:tblW w:type="pct" w:w="0.0"/>
        <w:tblLook w:firstRow="1"/>
        <w:tblCaption w:val="Table 2: Rain events defined by a threshold of 50mm with 14-hour inter-event period"/>
      </w:tblPr>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2.4</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70.5</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t xml:space="preserve"> </w:t>
      </w:r>
    </w:p>
    <w:p>
      <w:pPr>
        <w:pStyle w:val="BodyText"/>
      </w:pPr>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43"/>
      </w:r>
      <w:r>
        <w:t xml:space="preserve"> </w:t>
      </w:r>
      <w:r>
        <w:t xml:space="preserve">Luckily, the level-loggers were found downstream in February and (after drying the circuit boards) the data were successfully retrieved from both Odyssey loggers. Figure</w:t>
      </w:r>
      <w:r>
        <w:t xml:space="preserve"> </w:t>
      </w:r>
      <w:r>
        <w:t xml:space="preserve">2</w:t>
      </w:r>
      <w:r>
        <w:t xml:space="preserve"> </w:t>
      </w:r>
      <w:r>
        <w:t xml:space="preserve">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w:t>
      </w:r>
      <w:r>
        <w:t xml:space="preserve"> </w:t>
      </w:r>
      <w:r>
        <w:t xml:space="preserve">3</w:t>
      </w:r>
      <w:r>
        <w:t xml:space="preserve">.</w:t>
      </w:r>
    </w:p>
    <w:p>
      <w:pPr>
        <w:pStyle w:val="BodyText"/>
      </w:pPr>
      <w:r>
        <w:t xml:space="preserve"> </w:t>
      </w:r>
    </w:p>
    <w:p>
      <w:pPr>
        <w:pStyle w:val="CaptionedFigure"/>
      </w:pPr>
      <w:r>
        <w:drawing>
          <wp:inline>
            <wp:extent cx="5943600" cy="7924799"/>
            <wp:effectExtent b="0" l="0" r="0" t="0"/>
            <wp:docPr descr="Figure 2: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44"/>
                    <a:stretch>
                      <a:fillRect/>
                    </a:stretch>
                  </pic:blipFill>
                  <pic:spPr bwMode="auto">
                    <a:xfrm>
                      <a:off x="0" y="0"/>
                      <a:ext cx="5943600" cy="7924799"/>
                    </a:xfrm>
                    <a:prstGeom prst="rect">
                      <a:avLst/>
                    </a:prstGeom>
                    <a:noFill/>
                    <a:ln w="9525">
                      <a:noFill/>
                      <a:headEnd/>
                      <a:tailEnd/>
                    </a:ln>
                  </pic:spPr>
                </pic:pic>
              </a:graphicData>
            </a:graphic>
          </wp:inline>
        </w:drawing>
      </w:r>
    </w:p>
    <w:p>
      <w:pPr>
        <w:pStyle w:val="ImageCaption"/>
      </w:pPr>
      <w:r>
        <w:t xml:space="preserve">Figure 2:</w:t>
      </w:r>
      <w:r>
        <w:t xml:space="preserve"> </w:t>
      </w:r>
      <w:r>
        <w:rPr>
          <w:i/>
        </w:rPr>
        <w:t xml:space="preserve">Plot of Precipitation, rain events (as vertical lines), stream rise and sample collection at six sites across the LWSA.</w:t>
      </w:r>
    </w:p>
    <w:p>
      <w:pPr>
        <w:pStyle w:val="BodyText"/>
      </w:pPr>
      <w:r>
        <w:t xml:space="preserve"> </w:t>
      </w:r>
    </w:p>
    <w:p>
      <w:pPr>
        <w:pStyle w:val="TableCaption"/>
      </w:pPr>
      <w:r>
        <w:t xml:space="preserve">Table 3:</w:t>
      </w:r>
      <w:r>
        <w:t xml:space="preserve"> </w:t>
      </w:r>
      <w:r>
        <w:rPr>
          <w:i/>
        </w:rPr>
        <w:t xml:space="preserve">Minimum and maximum rain event values</w:t>
      </w:r>
      <w:r>
        <w:rPr>
          <w:i/>
        </w:rPr>
        <w:t xml:space="preserve"> </w:t>
      </w:r>
    </w:p>
    <w:tbl>
      <w:tblPr>
        <w:tblStyle w:val="Table"/>
        <w:tblW w:type="pct" w:w="0.0"/>
        <w:tblLook w:firstRow="1"/>
        <w:tblCaption w:val="Table 3: Minimum and maximum rain event values "/>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2.4</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45" w:name="temperature-at-vertical-racks"/>
      <w:r>
        <w:t xml:space="preserve">Temperature at vertical racks</w:t>
      </w:r>
      <w:bookmarkEnd w:id="45"/>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w:t>
      </w:r>
      <w:r>
        <w:t xml:space="preserve">).</w:t>
      </w:r>
    </w:p>
    <w:p>
      <w:pPr>
        <w:pStyle w:val="CaptionedFigure"/>
      </w:pPr>
      <w:r>
        <w:drawing>
          <wp:inline>
            <wp:extent cx="5504749" cy="5504749"/>
            <wp:effectExtent b="0" l="0" r="0" t="0"/>
            <wp:docPr descr="Figure 3: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4</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4: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4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Temperatures recorded in air and water on vertical racks at each research site.</w:t>
      </w:r>
    </w:p>
    <w:p>
      <w:pPr>
        <w:pStyle w:val="BodyText"/>
      </w:pPr>
      <w:r>
        <w:t xml:space="preserve"> </w:t>
      </w:r>
    </w:p>
    <w:p>
      <w:pPr>
        <w:pStyle w:val="Heading4"/>
      </w:pPr>
      <w:bookmarkStart w:id="48" w:name="Hobo"/>
      <w:r>
        <w:t xml:space="preserve">Air temperature comparison &amp; linear regression</w:t>
      </w:r>
      <w:bookmarkEnd w:id="48"/>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5</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5: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4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4</w:t>
      </w:r>
      <w:r>
        <w:t xml:space="preserve">) with no statistical difference (at 90% confidence) for Cragg Crk, West Leech and the Tunnel (sites 4, 5, 6).</w:t>
      </w:r>
    </w:p>
    <w:p>
      <w:pPr>
        <w:pStyle w:val="BodyText"/>
      </w:pPr>
      <w:r>
        <w:t xml:space="preserve"> </w:t>
      </w:r>
    </w:p>
    <w:p>
      <w:pPr>
        <w:pStyle w:val="TableCaption"/>
      </w:pPr>
      <w:r>
        <w:t xml:space="preserve">Table 4:</w:t>
      </w:r>
      <w:r>
        <w:t xml:space="preserve"> </w:t>
      </w:r>
      <w:r>
        <w:rPr>
          <w:i/>
        </w:rPr>
        <w:t xml:space="preserve">Relationships between air temperature recorded at each research site compared to mean air temperature recorded by LWSA weather stations.</w:t>
      </w:r>
    </w:p>
    <w:tbl>
      <w:tblPr>
        <w:tblStyle w:val="Table"/>
        <w:tblW w:type="pct" w:w="0.0"/>
        <w:tblLook w:firstRow="1"/>
        <w:tblCaption w:val="Table 4: Relationships between air temperature recorded at each research site compared to mean air temperature recorded by LWSA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0.0016</w:t>
            </w:r>
          </w:p>
        </w:tc>
      </w:tr>
      <w:tr>
        <w:tc>
          <w:p>
            <w:pPr>
              <w:pStyle w:val="Compact"/>
              <w:jc w:val="left"/>
            </w:pPr>
            <w:r>
              <w:t xml:space="preserve">ChrisCrk</w:t>
            </w:r>
          </w:p>
        </w:tc>
        <w:tc>
          <w:p>
            <w:pPr>
              <w:pStyle w:val="Compact"/>
              <w:jc w:val="right"/>
            </w:pPr>
            <w:r>
              <w:t xml:space="preserve">0.0071</w:t>
            </w:r>
          </w:p>
        </w:tc>
      </w:tr>
      <w:tr>
        <w:tc>
          <w:p>
            <w:pPr>
              <w:pStyle w:val="Compact"/>
              <w:jc w:val="left"/>
            </w:pPr>
            <w:r>
              <w:t xml:space="preserve">LeechHead</w:t>
            </w:r>
          </w:p>
        </w:tc>
        <w:tc>
          <w:p>
            <w:pPr>
              <w:pStyle w:val="Compact"/>
              <w:jc w:val="right"/>
            </w:pPr>
            <w:r>
              <w:t xml:space="preserve">0.0010</w:t>
            </w:r>
          </w:p>
        </w:tc>
      </w:tr>
      <w:tr>
        <w:tc>
          <w:p>
            <w:pPr>
              <w:pStyle w:val="Compact"/>
              <w:jc w:val="left"/>
            </w:pPr>
            <w:r>
              <w:t xml:space="preserve">CraggCrk</w:t>
            </w:r>
          </w:p>
        </w:tc>
        <w:tc>
          <w:p>
            <w:pPr>
              <w:pStyle w:val="Compact"/>
              <w:jc w:val="right"/>
            </w:pPr>
            <w:r>
              <w:t xml:space="preserve">0.0472</w:t>
            </w:r>
          </w:p>
        </w:tc>
      </w:tr>
      <w:tr>
        <w:tc>
          <w:p>
            <w:pPr>
              <w:pStyle w:val="Compact"/>
              <w:jc w:val="left"/>
            </w:pPr>
            <w:r>
              <w:t xml:space="preserve">WestLeech</w:t>
            </w:r>
          </w:p>
        </w:tc>
        <w:tc>
          <w:p>
            <w:pPr>
              <w:pStyle w:val="Compact"/>
              <w:jc w:val="right"/>
            </w:pPr>
            <w:r>
              <w:t xml:space="preserve">0.5757</w:t>
            </w:r>
          </w:p>
        </w:tc>
      </w:tr>
      <w:tr>
        <w:tc>
          <w:p>
            <w:pPr>
              <w:pStyle w:val="Compact"/>
              <w:jc w:val="left"/>
            </w:pPr>
            <w:r>
              <w:t xml:space="preserve">Tunnel</w:t>
            </w:r>
          </w:p>
        </w:tc>
        <w:tc>
          <w:p>
            <w:pPr>
              <w:pStyle w:val="Compact"/>
              <w:jc w:val="right"/>
            </w:pPr>
            <w:r>
              <w:t xml:space="preserve">0.2927</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6</w:t>
      </w:r>
      <w:r>
        <w:t xml:space="preserve">). Table</w:t>
      </w:r>
      <w:r>
        <w:t xml:space="preserve"> </w:t>
      </w:r>
      <w:r>
        <w:t xml:space="preserve">5</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5:</w:t>
      </w:r>
      <w:r>
        <w:t xml:space="preserve"> </w:t>
      </w:r>
      <w:r>
        <w:rPr>
          <w:i/>
        </w:rPr>
        <w:t xml:space="preserve">Summary of predicted air temperature at each site compared to mean LWSA temperature from CRD FWx stations for the same time period</w:t>
      </w:r>
    </w:p>
    <w:tbl>
      <w:tblPr>
        <w:tblStyle w:val="Table"/>
        <w:tblW w:type="pct" w:w="0.0"/>
        <w:tblLook w:firstRow="1"/>
        <w:tblCaption w:val="Table 5: Summary of predicted air temperature at each site compared to mean LWSA temperature from CRD FWx stations for the same time perio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35.0</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15.3</w:t>
            </w:r>
          </w:p>
        </w:tc>
        <w:tc>
          <w:p>
            <w:pPr>
              <w:pStyle w:val="Compact"/>
              <w:jc w:val="right"/>
            </w:pPr>
            <w:r>
              <w:t xml:space="preserve">17.7</w:t>
            </w:r>
          </w:p>
        </w:tc>
      </w:tr>
      <w:tr>
        <w:tc>
          <w:p>
            <w:pPr>
              <w:pStyle w:val="Compact"/>
              <w:jc w:val="left"/>
            </w:pPr>
            <w:r>
              <w:t xml:space="preserve">ChrisCrk</w:t>
            </w:r>
          </w:p>
        </w:tc>
        <w:tc>
          <w:p>
            <w:pPr>
              <w:pStyle w:val="Compact"/>
              <w:jc w:val="right"/>
            </w:pPr>
            <w:r>
              <w:t xml:space="preserve">-10.7</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15.6</w:t>
            </w:r>
          </w:p>
        </w:tc>
        <w:tc>
          <w:p>
            <w:pPr>
              <w:pStyle w:val="Compact"/>
              <w:jc w:val="right"/>
            </w:pPr>
            <w:r>
              <w:t xml:space="preserve">18.0</w:t>
            </w:r>
          </w:p>
        </w:tc>
      </w:tr>
      <w:tr>
        <w:tc>
          <w:p>
            <w:pPr>
              <w:pStyle w:val="Compact"/>
              <w:jc w:val="left"/>
            </w:pPr>
            <w:r>
              <w:t xml:space="preserve">LeechHead</w:t>
            </w:r>
          </w:p>
        </w:tc>
        <w:tc>
          <w:p>
            <w:pPr>
              <w:pStyle w:val="Compact"/>
              <w:jc w:val="right"/>
            </w:pPr>
            <w:r>
              <w:t xml:space="preserve">-28.9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15.7</w:t>
            </w:r>
          </w:p>
        </w:tc>
        <w:tc>
          <w:p>
            <w:pPr>
              <w:pStyle w:val="Compact"/>
              <w:jc w:val="right"/>
            </w:pPr>
            <w:r>
              <w:t xml:space="preserve">17.2</w:t>
            </w:r>
          </w:p>
        </w:tc>
      </w:tr>
      <w:tr>
        <w:tc>
          <w:p>
            <w:pPr>
              <w:pStyle w:val="Compact"/>
              <w:jc w:val="left"/>
            </w:pPr>
            <w:r>
              <w:t xml:space="preserve">CraggCrk</w:t>
            </w:r>
          </w:p>
        </w:tc>
        <w:tc>
          <w:p>
            <w:pPr>
              <w:pStyle w:val="Compact"/>
              <w:jc w:val="right"/>
            </w:pPr>
            <w:r>
              <w:t xml:space="preserve">84.2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17.2</w:t>
            </w:r>
          </w:p>
        </w:tc>
        <w:tc>
          <w:p>
            <w:pPr>
              <w:pStyle w:val="Compact"/>
              <w:jc w:val="right"/>
            </w:pPr>
            <w:r>
              <w:t xml:space="preserve">18.9</w:t>
            </w:r>
          </w:p>
        </w:tc>
      </w:tr>
      <w:tr>
        <w:tc>
          <w:p>
            <w:pPr>
              <w:pStyle w:val="Compact"/>
              <w:jc w:val="left"/>
            </w:pPr>
            <w:r>
              <w:t xml:space="preserve">WestLeech</w:t>
            </w:r>
          </w:p>
        </w:tc>
        <w:tc>
          <w:p>
            <w:pPr>
              <w:pStyle w:val="Compact"/>
              <w:jc w:val="right"/>
            </w:pPr>
            <w:r>
              <w:t xml:space="preserve">-61.1</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16.5</w:t>
            </w:r>
          </w:p>
        </w:tc>
        <w:tc>
          <w:p>
            <w:pPr>
              <w:pStyle w:val="Compact"/>
              <w:jc w:val="right"/>
            </w:pPr>
            <w:r>
              <w:t xml:space="preserve">18.4</w:t>
            </w:r>
          </w:p>
        </w:tc>
      </w:tr>
      <w:tr>
        <w:tc>
          <w:p>
            <w:pPr>
              <w:pStyle w:val="Compact"/>
              <w:jc w:val="left"/>
            </w:pPr>
            <w:r>
              <w:t xml:space="preserve">Tunnel</w:t>
            </w:r>
          </w:p>
        </w:tc>
        <w:tc>
          <w:p>
            <w:pPr>
              <w:pStyle w:val="Compact"/>
              <w:jc w:val="right"/>
            </w:pPr>
            <w:r>
              <w:t xml:space="preserve">-6.9</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20.5</w:t>
            </w:r>
          </w:p>
        </w:tc>
        <w:tc>
          <w:p>
            <w:pPr>
              <w:pStyle w:val="Compact"/>
              <w:jc w:val="right"/>
            </w:pPr>
            <w:r>
              <w:t xml:space="preserve">19.5</w:t>
            </w:r>
          </w:p>
        </w:tc>
      </w:tr>
    </w:tbl>
    <w:p>
      <w:pPr>
        <w:pStyle w:val="BodyText"/>
      </w:pPr>
      <w:r>
        <w:t xml:space="preserve"> </w:t>
      </w:r>
    </w:p>
    <w:p>
      <w:pPr>
        <w:pStyle w:val="CaptionedFigure"/>
      </w:pPr>
      <w:r>
        <w:drawing>
          <wp:inline>
            <wp:extent cx="5943600" cy="5943600"/>
            <wp:effectExtent b="0" l="0" r="0" t="0"/>
            <wp:docPr descr="Figure 6: 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p>
    <w:p>
      <w:pPr>
        <w:pStyle w:val="BodyText"/>
      </w:pPr>
      <w:r>
        <w:t xml:space="preserve"> </w:t>
      </w:r>
    </w:p>
    <w:p>
      <w:pPr>
        <w:pStyle w:val="Heading3"/>
      </w:pPr>
      <w:bookmarkStart w:id="51" w:name="X2684ecebb5dfc6a442fe78aedab729c4b3876f7"/>
      <w:r>
        <w:t xml:space="preserve">Quality control: vertical rack hold-time experiments</w:t>
      </w:r>
      <w:bookmarkEnd w:id="51"/>
    </w:p>
    <w:p>
      <w:pPr>
        <w:pStyle w:val="FirstParagraph"/>
      </w:pPr>
      <w:r>
        <w:t xml:space="preserve">Hold-time experiments were conducted at the Tunnel site to assess stability of river water samples held in siphon bottles on the vertical rack. Figure</w:t>
      </w:r>
      <w:r>
        <w:t xml:space="preserve"> </w:t>
      </w:r>
      <w:r>
        <w:t xml:space="preserve">7</w:t>
      </w:r>
      <w:r>
        <w:t xml:space="preserve"> </w:t>
      </w:r>
      <w:r>
        <w:t xml:space="preserve">summarizes air temperature and timing of the three hold-time sets.</w:t>
      </w:r>
    </w:p>
    <w:p>
      <w:pPr>
        <w:pStyle w:val="BodyText"/>
      </w:pPr>
      <w:r>
        <w:t xml:space="preserve"> </w:t>
      </w:r>
    </w:p>
    <w:p>
      <w:pPr>
        <w:pStyle w:val="CaptionedFigure"/>
      </w:pPr>
      <w:r>
        <w:drawing>
          <wp:inline>
            <wp:extent cx="5504749" cy="5046020"/>
            <wp:effectExtent b="0" l="0" r="0" t="0"/>
            <wp:docPr descr="Figure 7: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52"/>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Figure</w:t>
      </w:r>
      <w:r>
        <w:t xml:space="preserve"> </w:t>
      </w:r>
      <w:r>
        <w:t xml:space="preserve">8</w:t>
      </w:r>
      <w:r>
        <w:t xml:space="preserve"> </w:t>
      </w:r>
      <w:r>
        <w:t xml:space="preserve">shows results of sample analyses for DOC and UV</w:t>
      </w:r>
      <w:r>
        <w:rPr>
          <w:vertAlign w:val="subscript"/>
        </w:rPr>
        <w:t xml:space="preserve">254</w:t>
      </w:r>
      <w:r>
        <w:t xml:space="preserve"> </w:t>
      </w:r>
      <w:r>
        <w:t xml:space="preserve">absorbance of the fresh and held samples of each set, Hold-time sets were compared using two-sided paired Wilcoxon signed rank tests (a.k.a</w:t>
      </w:r>
      <w:r>
        <w:t xml:space="preserve"> </w:t>
      </w:r>
      <w:r>
        <w:t xml:space="preserve">‘</w:t>
      </w:r>
      <w:r>
        <w:t xml:space="preserve">Mann-Whitney</w:t>
      </w:r>
      <w:r>
        <w:t xml:space="preserve">’</w:t>
      </w:r>
      <w:r>
        <w:t xml:space="preserve"> </w:t>
      </w:r>
      <w:r>
        <w:t xml:space="preserve">test)</w:t>
      </w:r>
      <w:r>
        <w:rPr>
          <w:rStyle w:val="FootnoteReference"/>
        </w:rPr>
        <w:footnoteReference w:id="53"/>
      </w:r>
      <w:r>
        <w:t xml:space="preserve"> </w:t>
      </w:r>
      <w:r>
        <w:t xml:space="preserve">and Table</w:t>
      </w:r>
      <w:r>
        <w:t xml:space="preserve"> </w:t>
      </w:r>
      <w:r>
        <w:t xml:space="preserve">6</w:t>
      </w:r>
      <w:r>
        <w:t xml:space="preserve"> </w:t>
      </w:r>
      <w:r>
        <w:t xml:space="preserve">summarizes the number of days the rack samples were held, the mean air temperature over that period, and the percent change in DOC concentration and UV absorbance at 254nm, as well as Wilcoxon test results comparing fresh and held samples.</w:t>
      </w:r>
    </w:p>
    <w:p>
      <w:pPr>
        <w:pStyle w:val="BodyText"/>
      </w:pPr>
      <w:r>
        <w:t xml:space="preserve"> </w:t>
      </w:r>
    </w:p>
    <w:p>
      <w:pPr>
        <w:pStyle w:val="CaptionedFigure"/>
      </w:pPr>
      <w:r>
        <w:drawing>
          <wp:inline>
            <wp:extent cx="5943600" cy="3668888"/>
            <wp:effectExtent b="0" l="0" r="0" t="0"/>
            <wp:docPr descr="Figure 8: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5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8:</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6:</w:t>
      </w:r>
      <w:r>
        <w:t xml:space="preserve"> </w:t>
      </w:r>
      <w:r>
        <w:rPr>
          <w:i/>
        </w:rPr>
        <w:t xml:space="preserve">Results comparing hold-time sample sets</w:t>
      </w:r>
    </w:p>
    <w:tbl>
      <w:tblPr>
        <w:tblStyle w:val="Table"/>
        <w:tblW w:type="pct" w:w="0.0"/>
        <w:tblLook w:firstRow="1"/>
        <w:tblCaption w:val="Table 6: Results comparing hold-time sample sets"/>
      </w:tblPr>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Temp range</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UV 254 change (%)</w:t>
            </w:r>
          </w:p>
        </w:tc>
        <w:tc>
          <w:tcPr>
            <w:tcBorders>
              <w:bottom w:val="single"/>
            </w:tcBorders>
            <w:vAlign w:val="bottom"/>
          </w:tcPr>
          <w:p>
            <w:pPr>
              <w:pStyle w:val="Compact"/>
              <w:jc w:val="left"/>
            </w:pPr>
            <w:r>
              <w:t xml:space="preserve">sig.diff (UV 254)</w:t>
            </w:r>
          </w:p>
        </w:tc>
        <w:tc>
          <w:tcPr>
            <w:tcBorders>
              <w:bottom w:val="single"/>
            </w:tcBorders>
            <w:vAlign w:val="bottom"/>
          </w:tcPr>
          <w:p>
            <w:pPr>
              <w:pStyle w:val="Compact"/>
              <w:jc w:val="right"/>
            </w:pPr>
            <w:r>
              <w:t xml:space="preserve">p-value (UV 254)</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r>
    </w:tbl>
    <w:p>
      <w:pPr>
        <w:pStyle w:val="BodyText"/>
      </w:pPr>
      <w:r>
        <w:t xml:space="preserve"> </w:t>
      </w:r>
    </w:p>
    <w:p>
      <w:pPr>
        <w:pStyle w:val="BodyText"/>
      </w:pPr>
      <w:r>
        <w:t xml:space="preserve">While there was no change in UV absorbance for samples from hold-time set-A, there was a significant (at 90% confidence level) change in DOC concentration (p-value = 0.063).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 xml:space="preserve">254</w:t>
      </w:r>
      <w:r>
        <w:t xml:space="preserve"> </w:t>
      </w:r>
      <w:r>
        <w:t xml:space="preserve">(&lt;10%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 xml:space="preserve">254</w:t>
      </w:r>
      <w:r>
        <w:t xml:space="preserve"> </w:t>
      </w:r>
      <w:r>
        <w:t xml:space="preserve">(34% decrease in absorbance). In addition to the change in absorbance, Set-C held samples had greater variability for both DOC and UV</w:t>
      </w:r>
      <w:r>
        <w:rPr>
          <w:vertAlign w:val="subscript"/>
        </w:rPr>
        <w:t xml:space="preserve">254</w:t>
      </w:r>
      <w:r>
        <w:t xml:space="preserve"> </w:t>
      </w:r>
      <w:r>
        <w:t xml:space="preserve">compared to the fresh sample counterparts.</w:t>
      </w:r>
    </w:p>
    <w:p>
      <w:pPr>
        <w:pStyle w:val="BodyText"/>
      </w:pPr>
      <w:r>
        <w:t xml:space="preserve">These results suggest that early-season (</w:t>
      </w:r>
      <w:r>
        <w:t xml:space="preserve">“</w:t>
      </w:r>
      <w:r>
        <w:t xml:space="preserve">first flush</w:t>
      </w:r>
      <w:r>
        <w:t xml:space="preserve">”</w:t>
      </w:r>
      <w:r>
        <w:t xml:space="preserve">)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pPr>
        <w:pStyle w:val="BodyText"/>
      </w:pPr>
      <w:r>
        <w:t xml:space="preserve"> </w:t>
      </w:r>
    </w:p>
    <w:p>
      <w:pPr>
        <w:pStyle w:val="Heading5"/>
      </w:pPr>
      <w:bookmarkStart w:id="55" w:name="qaqc-data-handling"/>
      <w:r>
        <w:t xml:space="preserve">QA/QC data handling</w:t>
      </w:r>
      <w:bookmarkEnd w:id="55"/>
    </w:p>
    <w:p>
      <w:pPr>
        <w:pStyle w:val="FirstParagraph"/>
      </w:pPr>
      <w:r>
        <w:t xml:space="preserve">Based on results of the hold-time experiments, results of sample analyses were updated to include QA/QC data flags. Hold-times were calculated for each sample and Rack samples that remained held for fewer than 20 days at temperatures between 0-7°C were flagged as acceptable (</w:t>
      </w:r>
      <w:r>
        <w:t xml:space="preserve">“</w:t>
      </w:r>
      <w:r>
        <w:t xml:space="preserve">OK</w:t>
      </w:r>
      <w:r>
        <w:t xml:space="preserve">”</w:t>
      </w:r>
      <w:r>
        <w:t xml:space="preserve">). Rack samples that were held for 20 days or longer and samples identified as early-wet-season (</w:t>
      </w:r>
      <w:r>
        <w:t xml:space="preserve">“</w:t>
      </w:r>
      <w:r>
        <w:t xml:space="preserve">first-flush</w:t>
      </w:r>
      <w:r>
        <w:t xml:space="preserve">”</w:t>
      </w:r>
      <w:r>
        <w:t xml:space="preserve">)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pPr>
        <w:pStyle w:val="Heading3"/>
      </w:pPr>
      <w:bookmarkStart w:id="56" w:name="X206b6dc85f2d0e8717c31364b69e2ee1378e65c"/>
      <w:r>
        <w:t xml:space="preserve">Nested sub-catchments of the Leech watershed</w:t>
      </w:r>
      <w:bookmarkEnd w:id="56"/>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9</w:t>
      </w:r>
      <w:r>
        <w:t xml:space="preserve"> </w:t>
      </w:r>
      <w:r>
        <w:t xml:space="preserve">shows major precipitation events and stream response over the study period as well as the timing and stage of samples collected.</w:t>
      </w:r>
    </w:p>
    <w:p>
      <w:pPr>
        <w:pStyle w:val="BodyText"/>
      </w:pPr>
      <w:r>
        <w:t xml:space="preserve">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CaptionedFigure"/>
      </w:pPr>
      <w:r>
        <w:drawing>
          <wp:inline>
            <wp:extent cx="5504749" cy="7339665"/>
            <wp:effectExtent b="0" l="0" r="0" t="0"/>
            <wp:docPr descr="Figure 9: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57"/>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Heading4"/>
      </w:pPr>
      <w:bookmarkStart w:id="58" w:name="spatial-variance-doc-concentrations"/>
      <w:r>
        <w:t xml:space="preserve">Spatial variance &amp; DOC concentrations</w:t>
      </w:r>
      <w:bookmarkEnd w:id="58"/>
    </w:p>
    <w:p>
      <w:pPr>
        <w:pStyle w:val="FirstParagraph"/>
      </w:pPr>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or dangerous to capture by standard grab sampling, particularly across multiple sites. 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7</w:t>
      </w:r>
      <w:r>
        <w:t xml:space="preserve">).</w:t>
      </w:r>
    </w:p>
    <w:p>
      <w:pPr>
        <w:pStyle w:val="BodyText"/>
      </w:pPr>
      <w:r>
        <w:t xml:space="preserve"> </w:t>
      </w:r>
    </w:p>
    <w:p>
      <w:pPr>
        <w:pStyle w:val="TableCaption"/>
      </w:pPr>
      <w:r>
        <w:t xml:space="preserve">Table 7:</w:t>
      </w:r>
      <w:r>
        <w:t xml:space="preserve"> </w:t>
      </w:r>
      <w:r>
        <w:rPr>
          <w:i/>
        </w:rPr>
        <w:t xml:space="preserve">Summary of DOC across the six LWSA installation sites including breakdown of sample type collected.</w:t>
      </w:r>
    </w:p>
    <w:tbl>
      <w:tblPr>
        <w:tblStyle w:val="Table"/>
        <w:tblW w:type="pct" w:w="0.0"/>
        <w:tblLook w:firstRow="1"/>
        <w:tblCaption w:val="Table 7: Summary of DOC across the six LWSA installation sites including breakdown of sample type collecte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Figure</w:t>
      </w:r>
      <w:r>
        <w:t xml:space="preserve"> </w:t>
      </w:r>
      <w:r>
        <w:t xml:space="preserve">10</w:t>
      </w:r>
      <w:r>
        <w:t xml:space="preserve"> </w:t>
      </w:r>
      <w:r>
        <w:t xml:space="preserve">shows the distribution of DOC concentrations at each of the six sites. 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w:t>
      </w:r>
    </w:p>
    <w:p>
      <w:pPr>
        <w:pStyle w:val="BodyText"/>
      </w:pPr>
      <w:r>
        <w:t xml:space="preserve"> </w:t>
      </w:r>
    </w:p>
    <w:p>
      <w:pPr>
        <w:pStyle w:val="CaptionedFigure"/>
      </w:pPr>
      <w:r>
        <w:drawing>
          <wp:inline>
            <wp:extent cx="4587290" cy="3669832"/>
            <wp:effectExtent b="0" l="0" r="0" t="0"/>
            <wp:docPr descr="Figure 10: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5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Table</w:t>
      </w:r>
      <w:r>
        <w:t xml:space="preserve"> </w:t>
      </w:r>
      <w:r>
        <w:t xml:space="preserve">8</w:t>
      </w:r>
      <w:r>
        <w:t xml:space="preserve"> </w:t>
      </w:r>
      <w:r>
        <w:t xml:space="preserve">summarizes the range and variability in DOC within each site and among all sites, with categorical groupings of sub-basins.</w:t>
      </w:r>
    </w:p>
    <w:p>
      <w:pPr>
        <w:pStyle w:val="BodyText"/>
      </w:pPr>
      <w:r>
        <w:t xml:space="preserve"> </w:t>
      </w:r>
    </w:p>
    <w:p>
      <w:pPr>
        <w:pStyle w:val="TableCaption"/>
      </w:pPr>
      <w:r>
        <w:t xml:space="preserve">Table 8:</w:t>
      </w:r>
      <w:r>
        <w:t xml:space="preserve"> </w:t>
      </w:r>
      <w:r>
        <w:rPr>
          <w:i/>
        </w:rPr>
        <w:t xml:space="preserve">Summary of DOC across the six LWSA research sites with each nested catchment classified by basin type.</w:t>
      </w:r>
    </w:p>
    <w:tbl>
      <w:tblPr>
        <w:tblStyle w:val="Table"/>
        <w:tblW w:type="pct" w:w="0.0"/>
        <w:tblLook w:firstRow="1"/>
        <w:tblCaption w:val="Table 8: Summary of DOC across the six LWSA research sites with each nested catchment classified by basin typ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60"/>
      </w:r>
    </w:p>
    <w:p>
      <w:pPr>
        <w:pStyle w:val="BodyText"/>
      </w:pPr>
      <w:r>
        <w:t xml:space="preserve">To identify which pairs of sites had equal DOC variance Levene’s test was applied to sample DOC results. Table</w:t>
      </w:r>
      <w:r>
        <w:t xml:space="preserve"> </w:t>
      </w:r>
      <w:r>
        <w:t xml:space="preserve">9</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pPr>
        <w:pStyle w:val="BodyText"/>
      </w:pPr>
      <w:r>
        <w:t xml:space="preserve"> </w:t>
      </w:r>
    </w:p>
    <w:p>
      <w:pPr>
        <w:pStyle w:val="TableCaption"/>
      </w:pPr>
      <w:r>
        <w:t xml:space="preserve">Table 9:</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9: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BodyText"/>
      </w:pPr>
      <w:r>
        <w:t xml:space="preserve"> </w:t>
      </w:r>
    </w:p>
    <w:p>
      <w:pPr>
        <w:pStyle w:val="Heading4"/>
      </w:pPr>
      <w:bookmarkStart w:id="61" w:name="temporal-trends-in-doc-seasonality"/>
      <w:r>
        <w:t xml:space="preserve">Temporal trends in DOC: seasonality</w:t>
      </w:r>
      <w:bookmarkEnd w:id="61"/>
    </w:p>
    <w:p>
      <w:pPr>
        <w:pStyle w:val="FirstParagraph"/>
      </w:pPr>
      <w:r>
        <w:t xml:space="preserve">Over the study period, DOC concentrations followed similar trends across each of the six LWSA sites (Figure</w:t>
      </w:r>
      <w:r>
        <w:t xml:space="preserve"> </w:t>
      </w:r>
      <w:r>
        <w:t xml:space="preserve">11</w:t>
      </w:r>
      <w:r>
        <w:t xml:space="preserve">). DOC was highest early in the wet season and progressively decreased through the fall and winter, reaching minimum concentrations in the spring before progressively increasing again through the summer.</w:t>
      </w:r>
    </w:p>
    <w:p>
      <w:pPr>
        <w:pStyle w:val="BodyText"/>
      </w:pPr>
      <w:r>
        <w:t xml:space="preserve"> </w:t>
      </w:r>
    </w:p>
    <w:p>
      <w:pPr>
        <w:pStyle w:val="CaptionedFigure"/>
      </w:pPr>
      <w:r>
        <w:drawing>
          <wp:inline>
            <wp:extent cx="5504749" cy="5504749"/>
            <wp:effectExtent b="0" l="0" r="0" t="0"/>
            <wp:docPr descr="Figure 11:  Trends in dissolved organic carbon concentrations over sixteen months (Oct 2018 to Feb 2020) at six sites across the Leech water supply area (n = 323: 153 grab samples, 170 vertical rack samples."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6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w:t>
      </w:r>
    </w:p>
    <w:p>
      <w:pPr>
        <w:pStyle w:val="BodyText"/>
      </w:pPr>
      <w:r>
        <w:t xml:space="preserve"> </w:t>
      </w:r>
    </w:p>
    <w:p>
      <w:pPr>
        <w:pStyle w:val="BodyText"/>
      </w:pPr>
      <w:r>
        <w:t xml:space="preserve">Overall, there was very little difference between mean DOC concentration through the wet season (6.2 ± 3 mg/L) compared to the dry season (5.5 ± 3 mg/L). However, there were far fewer samples collected in the dry season than during the wet season (Figure</w:t>
      </w:r>
      <w:r>
        <w:t xml:space="preserve"> </w:t>
      </w:r>
      <w:r>
        <w:t xml:space="preserve">12</w:t>
      </w:r>
      <w:r>
        <w:t xml:space="preserve">.</w:t>
      </w:r>
    </w:p>
    <w:p>
      <w:pPr>
        <w:pStyle w:val="BodyText"/>
      </w:pPr>
      <w:r>
        <w:t xml:space="preserve"> </w:t>
      </w:r>
    </w:p>
    <w:p>
      <w:pPr>
        <w:pStyle w:val="CaptionedFigure"/>
      </w:pPr>
      <w:r>
        <w:drawing>
          <wp:inline>
            <wp:extent cx="5504749" cy="3211103"/>
            <wp:effectExtent b="0" l="0" r="0" t="0"/>
            <wp:docPr descr="Figure 12:  Boxplots of DOC concentrations at six LWSA sites during dry and wet seasons." title="" id="1" name="Picture"/>
            <a:graphic>
              <a:graphicData uri="http://schemas.openxmlformats.org/drawingml/2006/picture">
                <pic:pic>
                  <pic:nvPicPr>
                    <pic:cNvPr descr="R-outputs_UBC-forWater-MSc_HMc/figures/DOC_seasonal-subbasin_boxplots.png" id="0" name="Picture"/>
                    <pic:cNvPicPr>
                      <a:picLocks noChangeArrowheads="1" noChangeAspect="1"/>
                    </pic:cNvPicPr>
                  </pic:nvPicPr>
                  <pic:blipFill>
                    <a:blip r:embed="rId63"/>
                    <a:stretch>
                      <a:fillRect/>
                    </a:stretch>
                  </pic:blipFill>
                  <pic:spPr bwMode="auto">
                    <a:xfrm>
                      <a:off x="0" y="0"/>
                      <a:ext cx="5504749" cy="3211103"/>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Boxplots of DOC concentrations at six LWSA sites during dry and wet seasons.</w:t>
      </w:r>
    </w:p>
    <w:p>
      <w:pPr>
        <w:pStyle w:val="BodyText"/>
      </w:pPr>
      <w:r>
        <w:t xml:space="preserve"> </w:t>
      </w:r>
    </w:p>
    <w:p>
      <w:pPr>
        <w:pStyle w:val="BodyText"/>
      </w:pPr>
      <w:r>
        <w:t xml:space="preserve">The wet season was better represented (more samples) than the dry and therefore more interesting in terms of DOC concentration patterns, and the wet season is more relevant with respect to water supply because that is when flows are great enough to allow diversion for inter-basin transfer. High flows also showed increased DOC concentrations. Stormflow samples collected on vertical Racks showed higher DOC than Grab samples manually collected across wet seasons (Figure</w:t>
      </w:r>
      <w:r>
        <w:t xml:space="preserve"> </w:t>
      </w:r>
      <w:r>
        <w:t xml:space="preserve">13</w:t>
      </w:r>
      <w:r>
        <w:t xml:space="preserve">.</w:t>
      </w:r>
    </w:p>
    <w:p>
      <w:pPr>
        <w:pStyle w:val="BodyText"/>
      </w:pPr>
      <w:r>
        <w:t xml:space="preserve"> </w:t>
      </w:r>
    </w:p>
    <w:p>
      <w:pPr>
        <w:pStyle w:val="CaptionedFigure"/>
      </w:pPr>
      <w:r>
        <w:drawing>
          <wp:inline>
            <wp:extent cx="4587290" cy="3211103"/>
            <wp:effectExtent b="0" l="0" r="0" t="0"/>
            <wp:docPr descr="Figure 13: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64"/>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Heading4"/>
      </w:pPr>
      <w:bookmarkStart w:id="65" w:name="Xc2630683f9dc53106c8f6f2575ed377c9a57537"/>
      <w:r>
        <w:t xml:space="preserve">Spatiotemporal synchrony in local extrema: river stage and DOC</w:t>
      </w:r>
      <w:bookmarkEnd w:id="65"/>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w:t>
      </w:r>
    </w:p>
    <w:p>
      <w:pPr>
        <w:pStyle w:val="BodyText"/>
      </w:pPr>
      <w:r>
        <w:br/>
      </w:r>
    </w:p>
    <w:p>
      <w:pPr>
        <w:pStyle w:val="Compact"/>
        <w:numPr>
          <w:numId w:val="1001"/>
          <w:ilvl w:val="0"/>
        </w:numPr>
      </w:pPr>
      <w:r>
        <w:t xml:space="preserve">rising limb DOC (unsure if this is helpful)</w:t>
      </w:r>
    </w:p>
    <w:p>
      <w:pPr>
        <w:pStyle w:val="FirstParagraph"/>
      </w:pPr>
      <w:r>
        <w:rPr>
          <w:i/>
        </w:rPr>
        <w:t xml:space="preserve">Figure</w:t>
      </w:r>
      <w:r>
        <w:rPr>
          <w:i/>
        </w:rPr>
        <w:t xml:space="preserve"> </w:t>
      </w:r>
      <w:r>
        <w:rPr>
          <w:i/>
        </w:rPr>
        <w:t xml:space="preserve">14</w:t>
      </w:r>
      <w:r>
        <w:rPr>
          <w:i/>
        </w:rPr>
        <w:t xml:space="preserve"> </w:t>
      </w:r>
      <w:r>
        <w:rPr>
          <w:i/>
        </w:rPr>
        <w:t xml:space="preserve">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pPr>
        <w:pStyle w:val="CaptionedFigure"/>
      </w:pPr>
      <w:r>
        <w:drawing>
          <wp:inline>
            <wp:extent cx="4587290" cy="6422207"/>
            <wp:effectExtent b="0" l="0" r="0" t="0"/>
            <wp:docPr descr="Figure 14: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66"/>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DOC concentration trends in rising limb samples categorized by rain events</w:t>
      </w:r>
    </w:p>
    <w:p>
      <w:pPr>
        <w:pStyle w:val="BodyText"/>
      </w:pPr>
      <w:r>
        <w:t xml:space="preserve"> </w:t>
      </w:r>
    </w:p>
    <w:p>
      <w:pPr>
        <w:pStyle w:val="Compact"/>
        <w:numPr>
          <w:numId w:val="1002"/>
          <w:ilvl w:val="0"/>
        </w:numPr>
      </w:pPr>
      <w:r>
        <w:rPr>
          <w:i/>
        </w:rPr>
        <w:t xml:space="preserve">this is good though</w:t>
      </w:r>
      <w:r>
        <w:t xml:space="preserve">:</w:t>
      </w:r>
    </w:p>
    <w:p>
      <w:pPr>
        <w:pStyle w:val="FirstParagraph"/>
      </w:pPr>
      <w:r>
        <w:t xml:space="preserve">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10</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10:</w:t>
      </w:r>
      <w:r>
        <w:t xml:space="preserve"> </w:t>
      </w:r>
      <w:r>
        <w:rPr>
          <w:i/>
        </w:rPr>
        <w:t xml:space="preserve">Proportion of samples for which peak DOC was found in the highest sample stage.</w:t>
      </w:r>
    </w:p>
    <w:tbl>
      <w:tblPr>
        <w:tblStyle w:val="Table"/>
        <w:tblW w:type="pct" w:w="0.0"/>
        <w:tblLook w:firstRow="1"/>
        <w:tblCaption w:val="Table 10: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15</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15: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67"/>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Compact"/>
        <w:numPr>
          <w:numId w:val="1003"/>
          <w:ilvl w:val="0"/>
        </w:numPr>
      </w:pPr>
      <w:r>
        <w:rPr>
          <w:i/>
        </w:rPr>
        <w:t xml:space="preserve">needs work:</w:t>
      </w:r>
    </w:p>
    <w:p>
      <w:pPr>
        <w:pStyle w:val="Compact"/>
        <w:numPr>
          <w:numId w:val="1003"/>
          <w:ilvl w:val="0"/>
        </w:numPr>
      </w:pPr>
      <w:r>
        <w:t xml:space="preserve">Rates of stream response (times to peak):</w:t>
      </w:r>
      <w:r>
        <w:t xml:space="preserve"> </w:t>
      </w:r>
      <w:r>
        <w:t xml:space="preserve">11</w:t>
      </w:r>
    </w:p>
    <w:p>
      <w:pPr>
        <w:pStyle w:val="FirstParagraph"/>
      </w:pPr>
      <w:r>
        <w:t xml:space="preserve"> </w:t>
      </w:r>
    </w:p>
    <w:p>
      <w:pPr>
        <w:pStyle w:val="TableCaption"/>
      </w:pPr>
      <w:r>
        <w:t xml:space="preserve">Table 11:</w:t>
      </w:r>
      <w:r>
        <w:t xml:space="preserve"> </w:t>
      </w:r>
      <w:r>
        <w:rPr>
          <w:i/>
        </w:rPr>
        <w:t xml:space="preserve">Summary of stream response to precipitation events across the LWSA.</w:t>
      </w:r>
    </w:p>
    <w:tbl>
      <w:tblPr>
        <w:tblStyle w:val="Table"/>
        <w:tblW w:type="pct" w:w="0.0"/>
        <w:tblLook w:firstRow="1"/>
        <w:tblCaption w:val="Table 11: Summary of stream response to precipitation events across the LWS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0.2</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0.3</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0.3</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w:t>
            </w:r>
          </w:p>
        </w:tc>
        <w:tc>
          <w:p>
            <w:pPr>
              <w:pStyle w:val="Compact"/>
              <w:jc w:val="right"/>
            </w:pPr>
            <w:r>
              <w:t xml:space="preserve">7.4</w:t>
            </w:r>
          </w:p>
        </w:tc>
      </w:tr>
    </w:tbl>
    <w:p>
      <w:pPr>
        <w:pStyle w:val="BodyText"/>
      </w:pPr>
      <w:r>
        <w:t xml:space="preserve"> </w:t>
      </w:r>
    </w:p>
    <w:p>
      <w:pPr>
        <w:pStyle w:val="Compact"/>
        <w:numPr>
          <w:numId w:val="1004"/>
          <w:ilvl w:val="0"/>
        </w:numPr>
      </w:pPr>
      <w:r>
        <w:t xml:space="preserve">DOC changes in stormflow</w:t>
      </w:r>
    </w:p>
    <w:p>
      <w:pPr>
        <w:pStyle w:val="Compact"/>
        <w:numPr>
          <w:numId w:val="1004"/>
          <w:ilvl w:val="0"/>
        </w:numPr>
      </w:pPr>
      <w:r>
        <w:t xml:space="preserve">range of DOC in each event:</w:t>
      </w:r>
      <w:r>
        <w:t xml:space="preserve"> </w:t>
      </w:r>
      <w:r>
        <w:t xml:space="preserve">12</w:t>
      </w:r>
    </w:p>
    <w:p>
      <w:pPr>
        <w:pStyle w:val="FirstParagraph"/>
      </w:pPr>
      <w:r>
        <w:t xml:space="preserve"> </w:t>
      </w:r>
    </w:p>
    <w:p>
      <w:pPr>
        <w:pStyle w:val="TableCaption"/>
      </w:pPr>
      <w:r>
        <w:t xml:space="preserve">Table 12:</w:t>
      </w:r>
      <w:r>
        <w:t xml:space="preserve"> </w:t>
      </w:r>
      <w:r>
        <w:rPr>
          <w:i/>
        </w:rPr>
        <w:t xml:space="preserve">Summary of DOC changes within stormflow response to precipitation events across the LWSA (samples from wet season only).</w:t>
      </w:r>
    </w:p>
    <w:tbl>
      <w:tblPr>
        <w:tblStyle w:val="Table"/>
        <w:tblW w:type="pct" w:w="0.0"/>
        <w:tblLook w:firstRow="1"/>
        <w:tblCaption w:val="Table 12: Summary of DOC changes within stormflow response to precipitation events across the LWSA (samples from wet season onl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To better understand how timing of peak DOC varied among sites during the wet season, a subset of samples was selected for closer analysis (highlighted in Figure</w:t>
      </w:r>
      <w:r>
        <w:t xml:space="preserve"> </w:t>
      </w:r>
      <w:r>
        <w:t xml:space="preserve">15</w:t>
      </w:r>
      <w:r>
        <w:t xml:space="preserve"> </w:t>
      </w:r>
      <w:r>
        <w:t xml:space="preserve">and expanded in Figure</w:t>
      </w:r>
      <w:r>
        <w:t xml:space="preserve"> </w:t>
      </w:r>
      <w:r>
        <w:t xml:space="preserve">16</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13</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13:</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3: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5"/>
          <w:ilvl w:val="0"/>
        </w:numPr>
      </w:pPr>
      <w:r>
        <w:t xml:space="preserve">Rates of stream response (times to peak):</w:t>
      </w:r>
      <w:r>
        <w:t xml:space="preserve"> </w:t>
      </w:r>
      <w:r>
        <w:t xml:space="preserve">14</w:t>
      </w:r>
    </w:p>
    <w:p>
      <w:pPr>
        <w:pStyle w:val="FirstParagraph"/>
      </w:pPr>
      <w:r>
        <w:t xml:space="preserve"> </w:t>
      </w:r>
    </w:p>
    <w:p>
      <w:pPr>
        <w:pStyle w:val="TableCaption"/>
      </w:pPr>
      <w:r>
        <w:t xml:space="preserve">Table 14:</w:t>
      </w:r>
      <w:r>
        <w:t xml:space="preserve"> </w:t>
      </w:r>
      <w:r>
        <w:rPr>
          <w:i/>
        </w:rPr>
        <w:t xml:space="preserve">Summary of stream response to precipitation events 10-12 across the LWSA.</w:t>
      </w:r>
    </w:p>
    <w:tbl>
      <w:tblPr>
        <w:tblStyle w:val="Table"/>
        <w:tblW w:type="pct" w:w="0.0"/>
        <w:tblLook w:firstRow="1"/>
        <w:tblCaption w:val="Table 14: Summary of stream response to precipitation events 10-12 across the LWS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6"/>
          <w:ilvl w:val="0"/>
        </w:numPr>
      </w:pPr>
      <w:r>
        <w:t xml:space="preserve">DOC changes in stormflow</w:t>
      </w:r>
    </w:p>
    <w:p>
      <w:pPr>
        <w:pStyle w:val="Compact"/>
        <w:numPr>
          <w:numId w:val="1006"/>
          <w:ilvl w:val="0"/>
        </w:numPr>
      </w:pPr>
      <w:r>
        <w:t xml:space="preserve">range of DOC in each event:</w:t>
      </w:r>
      <w:r>
        <w:t xml:space="preserve"> </w:t>
      </w:r>
      <w:r>
        <w:t xml:space="preserve">15</w:t>
      </w:r>
    </w:p>
    <w:p>
      <w:pPr>
        <w:pStyle w:val="FirstParagraph"/>
      </w:pPr>
      <w:r>
        <w:t xml:space="preserve"> </w:t>
      </w:r>
    </w:p>
    <w:p>
      <w:pPr>
        <w:pStyle w:val="TableCaption"/>
      </w:pPr>
      <w:r>
        <w:t xml:space="preserve">Table 15:</w:t>
      </w:r>
      <w:r>
        <w:t xml:space="preserve"> </w:t>
      </w:r>
      <w:r>
        <w:rPr>
          <w:i/>
        </w:rPr>
        <w:t xml:space="preserve">Summary of DOC changes within stormflow response to precipitation events 10-12 across the LWSA.</w:t>
      </w:r>
    </w:p>
    <w:tbl>
      <w:tblPr>
        <w:tblStyle w:val="Table"/>
        <w:tblW w:type="pct" w:w="0.0"/>
        <w:tblLook w:firstRow="1"/>
        <w:tblCaption w:val="Table 15: Summary of DOC changes within stormflow response to precipitation events 10-12 across the LWS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16: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Compact"/>
        <w:numPr>
          <w:numId w:val="1007"/>
          <w:ilvl w:val="0"/>
        </w:numPr>
      </w:pPr>
      <w:r>
        <w:t xml:space="preserve">density plots of stage with DOC, UV</w:t>
      </w:r>
      <w:r>
        <w:rPr>
          <w:vertAlign w:val="subscript"/>
        </w:rPr>
        <w:t xml:space="preserve">254</w:t>
      </w:r>
      <w:r>
        <w:t xml:space="preserve"> </w:t>
      </w:r>
      <w:r>
        <w:t xml:space="preserve">and SUVA~254 for each site:</w:t>
      </w:r>
      <w:r>
        <w:t xml:space="preserve"> </w:t>
      </w:r>
      <w:r>
        <w:t xml:space="preserve">17</w:t>
      </w:r>
    </w:p>
    <w:p>
      <w:pPr>
        <w:pStyle w:val="CaptionedFigure"/>
      </w:pPr>
      <w:r>
        <w:drawing>
          <wp:inline>
            <wp:extent cx="5504749" cy="6422207"/>
            <wp:effectExtent b="0" l="0" r="0" t="0"/>
            <wp:docPr descr="Figure 17:  Two dimensional density distributions of normalized stage in relation to DOC concentration and DOM molecular character parameters."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69"/>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Two dimensional density distributions of normalized stage in relation to DOC concentration and DOM molecular character parameters.</w:t>
      </w:r>
    </w:p>
    <w:p>
      <w:pPr>
        <w:pStyle w:val="Heading3"/>
      </w:pPr>
      <w:bookmarkStart w:id="70" w:name="synoptic-sampling-1"/>
      <w:r>
        <w:t xml:space="preserve">Synoptic Sampling</w:t>
      </w:r>
      <w:bookmarkEnd w:id="70"/>
    </w:p>
    <w:p>
      <w:pPr>
        <w:pStyle w:val="FirstParagraph"/>
      </w:pPr>
      <w:r>
        <w:t xml:space="preserve">Thirteen river sites across the Leech and Sooke water supply areas were sampled synoptically over the sixteen month study period (</w:t>
      </w:r>
      <w:r>
        <w:t xml:space="preserve">??</w:t>
      </w:r>
      <w:r>
        <w:t xml:space="preserve">). DOC concentrations from the 201 quality assured synoptic grab samples are shown in Figure</w:t>
      </w:r>
      <w:r>
        <w:t xml:space="preserve"> </w:t>
      </w:r>
      <w:r>
        <w:t xml:space="preserve">18</w:t>
      </w:r>
      <w:r>
        <w:t xml:space="preserve"> </w:t>
      </w:r>
      <w:r>
        <w:t xml:space="preserve">and summarized in Table</w:t>
      </w:r>
      <w:r>
        <w:t xml:space="preserve"> </w:t>
      </w:r>
      <w:r>
        <w:t xml:space="preserve">16</w:t>
      </w:r>
      <w:r>
        <w:t xml:space="preserve">.</w:t>
      </w:r>
    </w:p>
    <w:p>
      <w:pPr>
        <w:pStyle w:val="BodyText"/>
      </w:pPr>
      <w:r>
        <w:t xml:space="preserve"> </w:t>
      </w:r>
    </w:p>
    <w:p>
      <w:pPr>
        <w:pStyle w:val="CaptionedFigure"/>
      </w:pPr>
      <w:r>
        <w:drawing>
          <wp:inline>
            <wp:extent cx="5943600" cy="3657600"/>
            <wp:effectExtent b="0" l="0" r="0" t="0"/>
            <wp:docPr descr="Figure 18:  Synoptic sampling results of dissolved organic carbon concentrations from 13 sites over 16 months (201 grab samples)." title="" id="1" name="Picture"/>
            <a:graphic>
              <a:graphicData uri="http://schemas.openxmlformats.org/drawingml/2006/picture">
                <pic:pic>
                  <pic:nvPicPr>
                    <pic:cNvPr descr="R-outputs_UBC-forWater-MSc_HMc/figures/DOC_syn_13sites_boxplots.png" id="0" name="Picture"/>
                    <pic:cNvPicPr>
                      <a:picLocks noChangeArrowheads="1" noChangeAspect="1"/>
                    </pic:cNvPicPr>
                  </pic:nvPicPr>
                  <pic:blipFill>
                    <a:blip r:embed="rId71"/>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Synoptic sampling results of dissolved organic carbon concentrations from 13 sites over 16 months (201 grab samples).</w:t>
      </w:r>
    </w:p>
    <w:p>
      <w:pPr>
        <w:pStyle w:val="BodyText"/>
      </w:pPr>
      <w:r>
        <w:t xml:space="preserve"> </w:t>
      </w:r>
    </w:p>
    <w:p>
      <w:pPr>
        <w:pStyle w:val="TableCaption"/>
      </w:pPr>
      <w:r>
        <w:t xml:space="preserve">Table 16:</w:t>
      </w:r>
      <w:r>
        <w:t xml:space="preserve"> </w:t>
      </w:r>
      <w:r>
        <w:rPr>
          <w:i/>
        </w:rPr>
        <w:t xml:space="preserve">Summary of dissolved organic carbon across thirteen synoptically sampled river sites</w:t>
      </w:r>
    </w:p>
    <w:tbl>
      <w:tblPr>
        <w:tblStyle w:val="Table"/>
        <w:tblW w:type="pct" w:w="0.0"/>
        <w:tblLook w:firstRow="1"/>
        <w:tblCaption w:val="Table 16: Summary of dissolved organic carbon across thirteen synoptically sampled river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21</w:t>
            </w:r>
          </w:p>
        </w:tc>
        <w:tc>
          <w:p>
            <w:pPr>
              <w:pStyle w:val="Compact"/>
              <w:jc w:val="right"/>
            </w:pPr>
            <w:r>
              <w:t xml:space="preserve">9.5</w:t>
            </w:r>
          </w:p>
        </w:tc>
        <w:tc>
          <w:p>
            <w:pPr>
              <w:pStyle w:val="Compact"/>
              <w:jc w:val="right"/>
            </w:pPr>
            <w:r>
              <w:t xml:space="preserve">3</w:t>
            </w:r>
          </w:p>
        </w:tc>
        <w:tc>
          <w:p>
            <w:pPr>
              <w:pStyle w:val="Compact"/>
              <w:jc w:val="right"/>
            </w:pPr>
            <w:r>
              <w:t xml:space="preserve">31</w:t>
            </w:r>
          </w:p>
        </w:tc>
        <w:tc>
          <w:p>
            <w:pPr>
              <w:pStyle w:val="Compact"/>
              <w:jc w:val="right"/>
            </w:pPr>
            <w:r>
              <w:t xml:space="preserve">6.4</w:t>
            </w:r>
          </w:p>
        </w:tc>
        <w:tc>
          <w:p>
            <w:pPr>
              <w:pStyle w:val="Compact"/>
              <w:jc w:val="right"/>
            </w:pPr>
            <w:r>
              <w:t xml:space="preserve">9.0</w:t>
            </w:r>
          </w:p>
        </w:tc>
        <w:tc>
          <w:p>
            <w:pPr>
              <w:pStyle w:val="Compact"/>
              <w:jc w:val="right"/>
            </w:pPr>
            <w:r>
              <w:t xml:space="preserve">19</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19</w:t>
            </w:r>
          </w:p>
        </w:tc>
        <w:tc>
          <w:p>
            <w:pPr>
              <w:pStyle w:val="Compact"/>
              <w:jc w:val="right"/>
            </w:pPr>
            <w:r>
              <w:t xml:space="preserve">4.2</w:t>
            </w:r>
          </w:p>
        </w:tc>
        <w:tc>
          <w:p>
            <w:pPr>
              <w:pStyle w:val="Compact"/>
              <w:jc w:val="right"/>
            </w:pPr>
            <w:r>
              <w:t xml:space="preserve">2</w:t>
            </w:r>
          </w:p>
        </w:tc>
        <w:tc>
          <w:p>
            <w:pPr>
              <w:pStyle w:val="Compact"/>
              <w:jc w:val="right"/>
            </w:pPr>
            <w:r>
              <w:t xml:space="preserve">54</w:t>
            </w:r>
          </w:p>
        </w:tc>
        <w:tc>
          <w:p>
            <w:pPr>
              <w:pStyle w:val="Compact"/>
              <w:jc w:val="right"/>
            </w:pPr>
            <w:r>
              <w:t xml:space="preserve">1.8</w:t>
            </w:r>
          </w:p>
        </w:tc>
        <w:tc>
          <w:p>
            <w:pPr>
              <w:pStyle w:val="Compact"/>
              <w:jc w:val="right"/>
            </w:pPr>
            <w:r>
              <w:t xml:space="preserve">3.3</w:t>
            </w:r>
          </w:p>
        </w:tc>
        <w:tc>
          <w:p>
            <w:pPr>
              <w:pStyle w:val="Compact"/>
              <w:jc w:val="right"/>
            </w:pPr>
            <w:r>
              <w:t xml:space="preserve">9</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19</w:t>
            </w:r>
          </w:p>
        </w:tc>
        <w:tc>
          <w:p>
            <w:pPr>
              <w:pStyle w:val="Compact"/>
              <w:jc w:val="right"/>
            </w:pPr>
            <w:r>
              <w:t xml:space="preserve">6.8</w:t>
            </w:r>
          </w:p>
        </w:tc>
        <w:tc>
          <w:p>
            <w:pPr>
              <w:pStyle w:val="Compact"/>
              <w:jc w:val="right"/>
            </w:pPr>
            <w:r>
              <w:t xml:space="preserve">2</w:t>
            </w:r>
          </w:p>
        </w:tc>
        <w:tc>
          <w:p>
            <w:pPr>
              <w:pStyle w:val="Compact"/>
              <w:jc w:val="right"/>
            </w:pPr>
            <w:r>
              <w:t xml:space="preserve">25</w:t>
            </w:r>
          </w:p>
        </w:tc>
        <w:tc>
          <w:p>
            <w:pPr>
              <w:pStyle w:val="Compact"/>
              <w:jc w:val="right"/>
            </w:pPr>
            <w:r>
              <w:t xml:space="preserve">4.0</w:t>
            </w:r>
          </w:p>
        </w:tc>
        <w:tc>
          <w:p>
            <w:pPr>
              <w:pStyle w:val="Compact"/>
              <w:jc w:val="right"/>
            </w:pPr>
            <w:r>
              <w:t xml:space="preserve">6.2</w:t>
            </w:r>
          </w:p>
        </w:tc>
        <w:tc>
          <w:p>
            <w:pPr>
              <w:pStyle w:val="Compact"/>
              <w:jc w:val="right"/>
            </w:pPr>
            <w:r>
              <w:t xml:space="preserve">12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3</w:t>
            </w:r>
          </w:p>
        </w:tc>
        <w:tc>
          <w:p>
            <w:pPr>
              <w:pStyle w:val="Compact"/>
              <w:jc w:val="right"/>
            </w:pPr>
            <w:r>
              <w:t xml:space="preserve">30</w:t>
            </w:r>
          </w:p>
        </w:tc>
        <w:tc>
          <w:p>
            <w:pPr>
              <w:pStyle w:val="Compact"/>
              <w:jc w:val="right"/>
            </w:pPr>
            <w:r>
              <w:t xml:space="preserve">5.9</w:t>
            </w:r>
          </w:p>
        </w:tc>
        <w:tc>
          <w:p>
            <w:pPr>
              <w:pStyle w:val="Compact"/>
              <w:jc w:val="right"/>
            </w:pPr>
            <w:r>
              <w:t xml:space="preserve">9.7</w:t>
            </w:r>
          </w:p>
        </w:tc>
        <w:tc>
          <w:p>
            <w:pPr>
              <w:pStyle w:val="Compact"/>
              <w:jc w:val="right"/>
            </w:pPr>
            <w:r>
              <w:t xml:space="preserve">17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2</w:t>
            </w:r>
          </w:p>
        </w:tc>
        <w:tc>
          <w:p>
            <w:pPr>
              <w:pStyle w:val="Compact"/>
              <w:jc w:val="right"/>
            </w:pPr>
            <w:r>
              <w:t xml:space="preserve">27</w:t>
            </w:r>
          </w:p>
        </w:tc>
        <w:tc>
          <w:p>
            <w:pPr>
              <w:pStyle w:val="Compact"/>
              <w:jc w:val="right"/>
            </w:pPr>
            <w:r>
              <w:t xml:space="preserve">3.7</w:t>
            </w:r>
          </w:p>
        </w:tc>
        <w:tc>
          <w:p>
            <w:pPr>
              <w:pStyle w:val="Compact"/>
              <w:jc w:val="right"/>
            </w:pPr>
            <w:r>
              <w:t xml:space="preserve">6.5</w:t>
            </w:r>
          </w:p>
        </w:tc>
        <w:tc>
          <w:p>
            <w:pPr>
              <w:pStyle w:val="Compact"/>
              <w:jc w:val="right"/>
            </w:pPr>
            <w:r>
              <w:t xml:space="preserve">9</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30</w:t>
            </w:r>
          </w:p>
        </w:tc>
        <w:tc>
          <w:p>
            <w:pPr>
              <w:pStyle w:val="Compact"/>
              <w:jc w:val="right"/>
            </w:pPr>
            <w:r>
              <w:t xml:space="preserve">4.1</w:t>
            </w:r>
          </w:p>
        </w:tc>
        <w:tc>
          <w:p>
            <w:pPr>
              <w:pStyle w:val="Compact"/>
              <w:jc w:val="right"/>
            </w:pPr>
            <w:r>
              <w:t xml:space="preserve">1</w:t>
            </w:r>
          </w:p>
        </w:tc>
        <w:tc>
          <w:p>
            <w:pPr>
              <w:pStyle w:val="Compact"/>
              <w:jc w:val="right"/>
            </w:pPr>
            <w:r>
              <w:t xml:space="preserve">32</w:t>
            </w:r>
          </w:p>
        </w:tc>
        <w:tc>
          <w:p>
            <w:pPr>
              <w:pStyle w:val="Compact"/>
              <w:jc w:val="right"/>
            </w:pPr>
            <w:r>
              <w:t xml:space="preserve">1.8</w:t>
            </w:r>
          </w:p>
        </w:tc>
        <w:tc>
          <w:p>
            <w:pPr>
              <w:pStyle w:val="Compact"/>
              <w:jc w:val="right"/>
            </w:pPr>
            <w:r>
              <w:t xml:space="preserve">3.7</w:t>
            </w:r>
          </w:p>
        </w:tc>
        <w:tc>
          <w:p>
            <w:pPr>
              <w:pStyle w:val="Compact"/>
              <w:jc w:val="right"/>
            </w:pPr>
            <w:r>
              <w:t xml:space="preserve">7</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21</w:t>
            </w:r>
          </w:p>
        </w:tc>
        <w:tc>
          <w:p>
            <w:pPr>
              <w:pStyle w:val="Compact"/>
              <w:jc w:val="right"/>
            </w:pPr>
            <w:r>
              <w:t xml:space="preserve">4.3</w:t>
            </w:r>
          </w:p>
        </w:tc>
        <w:tc>
          <w:p>
            <w:pPr>
              <w:pStyle w:val="Compact"/>
              <w:jc w:val="right"/>
            </w:pPr>
            <w:r>
              <w:t xml:space="preserve">2</w:t>
            </w:r>
          </w:p>
        </w:tc>
        <w:tc>
          <w:p>
            <w:pPr>
              <w:pStyle w:val="Compact"/>
              <w:jc w:val="right"/>
            </w:pPr>
            <w:r>
              <w:t xml:space="preserve">42</w:t>
            </w:r>
          </w:p>
        </w:tc>
        <w:tc>
          <w:p>
            <w:pPr>
              <w:pStyle w:val="Compact"/>
              <w:jc w:val="right"/>
            </w:pPr>
            <w:r>
              <w:t xml:space="preserve">2.0</w:t>
            </w:r>
          </w:p>
        </w:tc>
        <w:tc>
          <w:p>
            <w:pPr>
              <w:pStyle w:val="Compact"/>
              <w:jc w:val="right"/>
            </w:pPr>
            <w:r>
              <w:t xml:space="preserve">4.2</w:t>
            </w:r>
          </w:p>
        </w:tc>
        <w:tc>
          <w:p>
            <w:pPr>
              <w:pStyle w:val="Compact"/>
              <w:jc w:val="right"/>
            </w:pPr>
            <w:r>
              <w:t xml:space="preserve">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w:t>
            </w:r>
          </w:p>
        </w:tc>
        <w:tc>
          <w:p>
            <w:pPr>
              <w:pStyle w:val="Compact"/>
              <w:jc w:val="right"/>
            </w:pPr>
            <w:r>
              <w:t xml:space="preserve">26</w:t>
            </w:r>
          </w:p>
        </w:tc>
        <w:tc>
          <w:p>
            <w:pPr>
              <w:pStyle w:val="Compact"/>
              <w:jc w:val="right"/>
            </w:pPr>
            <w:r>
              <w:t xml:space="preserve">3.3</w:t>
            </w:r>
          </w:p>
        </w:tc>
        <w:tc>
          <w:p>
            <w:pPr>
              <w:pStyle w:val="Compact"/>
              <w:jc w:val="right"/>
            </w:pPr>
            <w:r>
              <w:t xml:space="preserve">5.1</w:t>
            </w:r>
          </w:p>
        </w:tc>
        <w:tc>
          <w:p>
            <w:pPr>
              <w:pStyle w:val="Compact"/>
              <w:jc w:val="right"/>
            </w:pPr>
            <w:r>
              <w:t xml:space="preserve">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38</w:t>
            </w:r>
          </w:p>
        </w:tc>
        <w:tc>
          <w:p>
            <w:pPr>
              <w:pStyle w:val="Compact"/>
              <w:jc w:val="right"/>
            </w:pPr>
            <w:r>
              <w:t xml:space="preserve">4.2</w:t>
            </w:r>
          </w:p>
        </w:tc>
        <w:tc>
          <w:p>
            <w:pPr>
              <w:pStyle w:val="Compact"/>
              <w:jc w:val="right"/>
            </w:pPr>
            <w:r>
              <w:t xml:space="preserve">2</w:t>
            </w:r>
          </w:p>
        </w:tc>
        <w:tc>
          <w:p>
            <w:pPr>
              <w:pStyle w:val="Compact"/>
              <w:jc w:val="right"/>
            </w:pPr>
            <w:r>
              <w:t xml:space="preserve">41</w:t>
            </w:r>
          </w:p>
        </w:tc>
        <w:tc>
          <w:p>
            <w:pPr>
              <w:pStyle w:val="Compact"/>
              <w:jc w:val="right"/>
            </w:pPr>
            <w:r>
              <w:t xml:space="preserve">1.6</w:t>
            </w:r>
          </w:p>
        </w:tc>
        <w:tc>
          <w:p>
            <w:pPr>
              <w:pStyle w:val="Compact"/>
              <w:jc w:val="right"/>
            </w:pPr>
            <w:r>
              <w:t xml:space="preserve">3.7</w:t>
            </w:r>
          </w:p>
        </w:tc>
        <w:tc>
          <w:p>
            <w:pPr>
              <w:pStyle w:val="Compact"/>
              <w:jc w:val="right"/>
            </w:pPr>
            <w:r>
              <w:t xml:space="preserve">9</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4</w:t>
            </w:r>
          </w:p>
        </w:tc>
        <w:tc>
          <w:p>
            <w:pPr>
              <w:pStyle w:val="Compact"/>
              <w:jc w:val="right"/>
            </w:pPr>
            <w:r>
              <w:t xml:space="preserve">71</w:t>
            </w:r>
          </w:p>
        </w:tc>
        <w:tc>
          <w:p>
            <w:pPr>
              <w:pStyle w:val="Compact"/>
              <w:jc w:val="right"/>
            </w:pPr>
            <w:r>
              <w:t xml:space="preserve">1.6</w:t>
            </w:r>
          </w:p>
        </w:tc>
        <w:tc>
          <w:p>
            <w:pPr>
              <w:pStyle w:val="Compact"/>
              <w:jc w:val="right"/>
            </w:pPr>
            <w:r>
              <w:t xml:space="preserve">3.5</w:t>
            </w:r>
          </w:p>
        </w:tc>
        <w:tc>
          <w:p>
            <w:pPr>
              <w:pStyle w:val="Compact"/>
              <w:jc w:val="right"/>
            </w:pPr>
            <w:r>
              <w:t xml:space="preserve">13</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w:t>
            </w:r>
          </w:p>
        </w:tc>
        <w:tc>
          <w:p>
            <w:pPr>
              <w:pStyle w:val="Compact"/>
              <w:jc w:val="right"/>
            </w:pPr>
            <w:r>
              <w:t xml:space="preserve">20</w:t>
            </w:r>
          </w:p>
        </w:tc>
        <w:tc>
          <w:p>
            <w:pPr>
              <w:pStyle w:val="Compact"/>
              <w:jc w:val="right"/>
            </w:pPr>
            <w:r>
              <w:t xml:space="preserve">4.4</w:t>
            </w:r>
          </w:p>
        </w:tc>
        <w:tc>
          <w:p>
            <w:pPr>
              <w:pStyle w:val="Compact"/>
              <w:jc w:val="right"/>
            </w:pPr>
            <w:r>
              <w:t xml:space="preserve">5.3</w:t>
            </w:r>
          </w:p>
        </w:tc>
        <w:tc>
          <w:p>
            <w:pPr>
              <w:pStyle w:val="Compact"/>
              <w:jc w:val="right"/>
            </w:pPr>
            <w:r>
              <w:t xml:space="preserve">8</w:t>
            </w:r>
          </w:p>
        </w:tc>
      </w:tr>
      <w:tr>
        <w:tc>
          <w:p>
            <w:pPr>
              <w:pStyle w:val="Compact"/>
              <w:jc w:val="left"/>
            </w:pPr>
            <w:r>
              <w:t xml:space="preserve">Deception-res</w:t>
            </w:r>
          </w:p>
        </w:tc>
        <w:tc>
          <w:p>
            <w:pPr>
              <w:pStyle w:val="Compact"/>
              <w:jc w:val="left"/>
            </w:pPr>
            <w:r>
              <w:t xml:space="preserve">outlet of Leech Tunnel, SWSA</w:t>
            </w:r>
          </w:p>
        </w:tc>
        <w:tc>
          <w:p>
            <w:pPr>
              <w:pStyle w:val="Compact"/>
              <w:jc w:val="right"/>
            </w:pPr>
            <w:r>
              <w:t xml:space="preserve">3</w:t>
            </w:r>
          </w:p>
        </w:tc>
        <w:tc>
          <w:p>
            <w:pPr>
              <w:pStyle w:val="Compact"/>
              <w:jc w:val="right"/>
            </w:pPr>
            <w:r>
              <w:t xml:space="preserve">4.9</w:t>
            </w:r>
          </w:p>
        </w:tc>
        <w:tc>
          <w:p>
            <w:pPr>
              <w:pStyle w:val="Compact"/>
              <w:jc w:val="right"/>
            </w:pPr>
            <w:r>
              <w:t xml:space="preserve">2</w:t>
            </w:r>
          </w:p>
        </w:tc>
        <w:tc>
          <w:p>
            <w:pPr>
              <w:pStyle w:val="Compact"/>
              <w:jc w:val="right"/>
            </w:pPr>
            <w:r>
              <w:t xml:space="preserve">40</w:t>
            </w:r>
          </w:p>
        </w:tc>
        <w:tc>
          <w:p>
            <w:pPr>
              <w:pStyle w:val="Compact"/>
              <w:jc w:val="right"/>
            </w:pPr>
            <w:r>
              <w:t xml:space="preserve">3.1</w:t>
            </w:r>
          </w:p>
        </w:tc>
        <w:tc>
          <w:p>
            <w:pPr>
              <w:pStyle w:val="Compact"/>
              <w:jc w:val="right"/>
            </w:pPr>
            <w:r>
              <w:t xml:space="preserve">4.5</w:t>
            </w:r>
          </w:p>
        </w:tc>
        <w:tc>
          <w:p>
            <w:pPr>
              <w:pStyle w:val="Compact"/>
              <w:jc w:val="right"/>
            </w:pPr>
            <w:r>
              <w:t xml:space="preserve">7</w:t>
            </w:r>
          </w:p>
        </w:tc>
      </w:tr>
      <w:tr>
        <w:tc>
          <w:p>
            <w:pPr>
              <w:pStyle w:val="Compact"/>
              <w:jc w:val="left"/>
            </w:pPr>
            <w:r>
              <w:t xml:space="preserve">Boneyard</w:t>
            </w:r>
          </w:p>
        </w:tc>
        <w:tc>
          <w:p>
            <w:pPr>
              <w:pStyle w:val="Compact"/>
              <w:jc w:val="left"/>
            </w:pPr>
            <w:r>
              <w:t xml:space="preserve">downstream from Leech Tunnel</w:t>
            </w:r>
          </w:p>
        </w:tc>
        <w:tc>
          <w:p>
            <w:pPr>
              <w:pStyle w:val="Compact"/>
              <w:jc w:val="right"/>
            </w:pPr>
            <w:r>
              <w:t xml:space="preserve">7</w:t>
            </w:r>
          </w:p>
        </w:tc>
        <w:tc>
          <w:p>
            <w:pPr>
              <w:pStyle w:val="Compact"/>
              <w:jc w:val="right"/>
            </w:pPr>
            <w:r>
              <w:t xml:space="preserve">2.9</w:t>
            </w:r>
          </w:p>
        </w:tc>
        <w:tc>
          <w:p>
            <w:pPr>
              <w:pStyle w:val="Compact"/>
              <w:jc w:val="right"/>
            </w:pPr>
            <w:r>
              <w:t xml:space="preserve">2</w:t>
            </w:r>
          </w:p>
        </w:tc>
        <w:tc>
          <w:p>
            <w:pPr>
              <w:pStyle w:val="Compact"/>
              <w:jc w:val="right"/>
            </w:pPr>
            <w:r>
              <w:t xml:space="preserve">60</w:t>
            </w:r>
          </w:p>
        </w:tc>
        <w:tc>
          <w:p>
            <w:pPr>
              <w:pStyle w:val="Compact"/>
              <w:jc w:val="right"/>
            </w:pPr>
            <w:r>
              <w:t xml:space="preserve">1.8</w:t>
            </w:r>
          </w:p>
        </w:tc>
        <w:tc>
          <w:p>
            <w:pPr>
              <w:pStyle w:val="Compact"/>
              <w:jc w:val="right"/>
            </w:pPr>
            <w:r>
              <w:t xml:space="preserve">1.9</w:t>
            </w:r>
          </w:p>
        </w:tc>
        <w:tc>
          <w:p>
            <w:pPr>
              <w:pStyle w:val="Compact"/>
              <w:jc w:val="right"/>
            </w:pPr>
            <w:r>
              <w:t xml:space="preserve">5</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201</w:t>
            </w:r>
          </w:p>
        </w:tc>
        <w:tc>
          <w:p>
            <w:pPr>
              <w:pStyle w:val="Compact"/>
              <w:jc w:val="right"/>
            </w:pPr>
            <w:r>
              <w:t xml:space="preserve">5.5</w:t>
            </w:r>
          </w:p>
        </w:tc>
        <w:tc>
          <w:p>
            <w:pPr>
              <w:pStyle w:val="Compact"/>
              <w:jc w:val="right"/>
            </w:pPr>
            <w:r>
              <w:t xml:space="preserve">3</w:t>
            </w:r>
          </w:p>
        </w:tc>
        <w:tc>
          <w:p>
            <w:pPr>
              <w:pStyle w:val="Compact"/>
              <w:jc w:val="right"/>
            </w:pPr>
            <w:r>
              <w:t xml:space="preserve">53</w:t>
            </w:r>
          </w:p>
        </w:tc>
        <w:tc>
          <w:p>
            <w:pPr>
              <w:pStyle w:val="Compact"/>
              <w:jc w:val="right"/>
            </w:pPr>
            <w:r>
              <w:t xml:space="preserve">1.6</w:t>
            </w:r>
          </w:p>
        </w:tc>
        <w:tc>
          <w:p>
            <w:pPr>
              <w:pStyle w:val="Compact"/>
              <w:jc w:val="right"/>
            </w:pPr>
            <w:r>
              <w:t xml:space="preserve">5.1</w:t>
            </w:r>
          </w:p>
        </w:tc>
        <w:tc>
          <w:p>
            <w:pPr>
              <w:pStyle w:val="Compact"/>
              <w:jc w:val="right"/>
            </w:pPr>
            <w:r>
              <w:t xml:space="preserve">19</w:t>
            </w:r>
          </w:p>
        </w:tc>
      </w:tr>
    </w:tbl>
    <w:p>
      <w:pPr>
        <w:pStyle w:val="BodyText"/>
      </w:pPr>
      <w:r>
        <w:t xml:space="preserve"> </w:t>
      </w:r>
    </w:p>
    <w:p>
      <w:pPr>
        <w:pStyle w:val="BodyText"/>
      </w:pPr>
      <w:r>
        <w:t xml:space="preserve">Rithet Creek, the largest tributary to Sooke Reservoir, showed a range of DOC concentrations comparable to those observed at the Tunnel site. And median DOC at Judge Creek, the second largest tributary to Sooke Reservoir, was greater than concentrations at any of the LWSA mainstem rivers and the Tunnel site.</w:t>
      </w:r>
    </w:p>
    <w:p>
      <w:pPr>
        <w:pStyle w:val="BodyText"/>
      </w:pPr>
      <w:r>
        <w:t xml:space="preserve"> </w:t>
      </w:r>
    </w:p>
    <w:p>
      <w:pPr>
        <w:pStyle w:val="Heading4"/>
      </w:pPr>
      <w:bookmarkStart w:id="72" w:name="seasonal-patterns-in-dom-character"/>
      <w:r>
        <w:t xml:space="preserve">Seasonal patterns in DOM character</w:t>
      </w:r>
      <w:bookmarkEnd w:id="72"/>
    </w:p>
    <w:p>
      <w:pPr>
        <w:pStyle w:val="FirstParagraph"/>
      </w:pPr>
      <w:r>
        <w:t xml:space="preserve">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w:t>
      </w:r>
      <w:r>
        <w:t xml:space="preserve"> </w:t>
      </w:r>
      <w:r>
        <w:t xml:space="preserve">19</w:t>
      </w:r>
      <w:r>
        <w:t xml:space="preserve"> </w:t>
      </w:r>
      <w:r>
        <w:t xml:space="preserve">shows DOC (NPOC) plotted against CDOM for all quality assured data (i.e., both Rack and Grab samples).</w:t>
      </w:r>
    </w:p>
    <w:p>
      <w:pPr>
        <w:pStyle w:val="BodyText"/>
      </w:pPr>
      <w:r>
        <w:t xml:space="preserve"> </w:t>
      </w:r>
    </w:p>
    <w:p>
      <w:pPr>
        <w:pStyle w:val="CaptionedFigure"/>
      </w:pPr>
      <w:r>
        <w:drawing>
          <wp:inline>
            <wp:extent cx="4587290" cy="4587290"/>
            <wp:effectExtent b="0" l="0" r="0" t="0"/>
            <wp:docPr descr="Figure 19:  Dissolved organic carbon measured directly (as NPOC) plotted against concentrations estimated via UV-Vis spectroscopy, with a dashed lined indicating best fit (1:1). The 276 samples are grouped by season (nwet = 210, nfirst-flush = 15,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73"/>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Dissolved organic carbon measured directly (as NPOC) plotted against concentrations estimated via UV-Vis spectroscopy, with a dashed lined indicating best fit (1:1). The 276 samples are grouped by season (n</w:t>
      </w:r>
      <w:r>
        <w:rPr>
          <w:vertAlign w:val="subscript"/>
          <w:i/>
        </w:rPr>
        <w:t xml:space="preserve">wet</w:t>
      </w:r>
      <w:r>
        <w:rPr>
          <w:i/>
        </w:rPr>
        <w:t xml:space="preserve"> </w:t>
      </w:r>
      <w:r>
        <w:rPr>
          <w:i/>
        </w:rPr>
        <w:t xml:space="preserve">= 210, n</w:t>
      </w:r>
      <w:r>
        <w:rPr>
          <w:vertAlign w:val="subscript"/>
          <w:i/>
        </w:rPr>
        <w:t xml:space="preserve">first-flush</w:t>
      </w:r>
      <w:r>
        <w:rPr>
          <w:i/>
        </w:rPr>
        <w:t xml:space="preserve"> </w:t>
      </w:r>
      <w:r>
        <w:rPr>
          <w:i/>
        </w:rPr>
        <w:t xml:space="preserve">= 15, n</w:t>
      </w:r>
      <w:r>
        <w:rPr>
          <w:vertAlign w:val="subscript"/>
          <w:i/>
        </w:rPr>
        <w:t xml:space="preserve">dry</w:t>
      </w:r>
      <w:r>
        <w:rPr>
          <w:i/>
        </w:rPr>
        <w:t xml:space="preserve"> </w:t>
      </w:r>
      <w:r>
        <w:rPr>
          <w:i/>
        </w:rPr>
        <w:t xml:space="preserve">= 27).</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pPr>
        <w:pStyle w:val="BodyText"/>
      </w:pPr>
      <w:r>
        <w:t xml:space="preserve"> </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 xml:space="preserve">254</w:t>
      </w:r>
      <w:r>
        <w:t xml:space="preserve">) is a widely adopted indicator of a sample’s aromaticity. SUVA</w:t>
      </w:r>
      <w:r>
        <w:rPr>
          <w:vertAlign w:val="subscript"/>
        </w:rPr>
        <w:t xml:space="preserve">254</w:t>
      </w:r>
      <w:r>
        <w:t xml:space="preserve"> </w:t>
      </w:r>
      <w:r>
        <w:t xml:space="preserve">was calculated by dividing each samples absorbance at 254nm by its DOC concentration; a larger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20</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4587290" cy="3211103"/>
            <wp:effectExtent b="0" l="0" r="0" t="0"/>
            <wp:docPr descr="Figure 20: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74"/>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BodyText"/>
      </w:pPr>
      <w:r>
        <w:rPr>
          <w:i/>
          <w:b/>
        </w:rPr>
        <w:t xml:space="preserve">Random Forests</w:t>
      </w:r>
    </w:p>
    <w:p>
      <w:pPr>
        <w:pStyle w:val="Compact"/>
        <w:numPr>
          <w:numId w:val="1008"/>
          <w:ilvl w:val="0"/>
        </w:numPr>
      </w:pPr>
      <w:r>
        <w:t xml:space="preserve">in progress –</w:t>
      </w:r>
    </w:p>
    <w:p>
      <w:pPr>
        <w:pStyle w:val="Heading2"/>
      </w:pPr>
      <w:bookmarkStart w:id="75" w:name="discussion"/>
      <w:r>
        <w:t xml:space="preserve">Discussion</w:t>
      </w:r>
      <w:bookmarkEnd w:id="75"/>
    </w:p>
    <w:p>
      <w:pPr>
        <w:pStyle w:val="Heading2"/>
      </w:pPr>
      <w:bookmarkStart w:id="76" w:name="conclusions"/>
      <w:r>
        <w:t xml:space="preserve">Conclusions</w:t>
      </w:r>
      <w:bookmarkEnd w:id="76"/>
    </w:p>
    <w:p>
      <w:pPr>
        <w:pStyle w:val="Heading1"/>
      </w:pPr>
      <w:bookmarkStart w:id="77" w:name="references"/>
      <w:r>
        <w:t xml:space="preserve">References</w:t>
      </w:r>
      <w:bookmarkEnd w:id="77"/>
    </w:p>
    <w:p>
      <w:pPr>
        <w:pStyle w:val="Heading7"/>
      </w:pPr>
      <w:bookmarkStart w:id="78" w:name="appendix"/>
      <w:r>
        <w:t xml:space="preserve">Appendix</w:t>
      </w:r>
      <w:bookmarkEnd w:id="78"/>
    </w:p>
    <w:p>
      <w:pPr>
        <w:pStyle w:val="Heading8"/>
      </w:pPr>
      <w:bookmarkStart w:id="79" w:name="the-forwater-network"/>
      <w:r>
        <w:t xml:space="preserve">The forWater Network</w:t>
      </w:r>
      <w:bookmarkEnd w:id="79"/>
    </w:p>
    <w:p>
      <w:pPr>
        <w:pStyle w:val="Heading8"/>
      </w:pPr>
      <w:bookmarkStart w:id="80" w:name="X264f14d3eae9d18c35d78736d0a098750021930"/>
      <w:r>
        <w:t xml:space="preserve">Greater Victoria Regional Water Supply System</w:t>
      </w:r>
      <w:bookmarkEnd w:id="80"/>
    </w:p>
    <w:p>
      <w:pPr>
        <w:pStyle w:val="Heading7"/>
      </w:pPr>
      <w:bookmarkStart w:id="81" w:name="leech-river-watershed-site-details"/>
      <w:r>
        <w:t xml:space="preserve">Leech River Watershed Site Details</w:t>
      </w:r>
      <w:bookmarkEnd w:id="81"/>
    </w:p>
    <w:p>
      <w:pPr>
        <w:pStyle w:val="Heading9"/>
      </w:pPr>
      <w:bookmarkStart w:id="82" w:name="installation-monitoring-sites"/>
      <w:r>
        <w:t xml:space="preserve">Installation / monitoring sites</w:t>
      </w:r>
      <w:bookmarkEnd w:id="82"/>
    </w:p>
    <w:p>
      <w:pPr>
        <w:pStyle w:val="Heading7"/>
      </w:pPr>
      <w:bookmarkStart w:id="83" w:name="extended-methods"/>
      <w:r>
        <w:t xml:space="preserve">Extended Methods</w:t>
      </w:r>
      <w:bookmarkEnd w:id="83"/>
    </w:p>
    <w:p>
      <w:pPr>
        <w:pStyle w:val="Heading8"/>
      </w:pPr>
      <w:bookmarkStart w:id="84" w:name="field-protocol"/>
      <w:r>
        <w:t xml:space="preserve">Field protocol</w:t>
      </w:r>
      <w:bookmarkEnd w:id="84"/>
    </w:p>
    <w:p>
      <w:pPr>
        <w:pStyle w:val="Heading8"/>
      </w:pPr>
      <w:bookmarkStart w:id="85" w:name="X4e3eb70344da6a931ae15671e47b67ae69cdd36"/>
      <w:r>
        <w:t xml:space="preserve">Prototype for falling limb passive sampling</w:t>
      </w:r>
      <w:bookmarkEnd w:id="85"/>
    </w:p>
    <w:p>
      <w:pPr>
        <w:pStyle w:val="Heading7"/>
      </w:pPr>
      <w:bookmarkStart w:id="86" w:name="collaborative-sampling"/>
      <w:r>
        <w:t xml:space="preserve">Collaborative sampling</w:t>
      </w:r>
      <w:bookmarkEnd w:id="86"/>
    </w:p>
    <w:p>
      <w:pPr>
        <w:pStyle w:val="Heading9"/>
      </w:pPr>
      <w:bookmarkStart w:id="87" w:name="Xff9c1916dd8d278b07e9d95ebf125bc565f5754"/>
      <w:r>
        <w:t xml:space="preserve">forWater-coordinated treatability analyses sites</w:t>
      </w:r>
      <w:bookmarkEnd w:id="87"/>
    </w:p>
    <w:p>
      <w:pPr>
        <w:pStyle w:val="Heading9"/>
      </w:pPr>
      <w:bookmarkStart w:id="88" w:name="sampling-for-metals-on-behalf-of-the-crd"/>
      <w:r>
        <w:t xml:space="preserve">Sampling for Metals on behalf of the CRD</w:t>
      </w:r>
      <w:bookmarkEnd w:id="88"/>
    </w:p>
    <w:p>
      <w:pPr>
        <w:pStyle w:val="Heading7"/>
      </w:pPr>
      <w:bookmarkStart w:id="89" w:name="results-extended"/>
      <w:r>
        <w:t xml:space="preserve">Results extended</w:t>
      </w:r>
      <w:bookmarkEnd w:id="89"/>
    </w:p>
    <w:p>
      <w:pPr>
        <w:pStyle w:val="Heading9"/>
      </w:pPr>
      <w:bookmarkStart w:id="90" w:name="malahat-5-year-weather"/>
      <w:r>
        <w:t xml:space="preserve">Malahat 5 year weather</w:t>
      </w:r>
      <w:bookmarkEnd w:id="90"/>
    </w:p>
    <w:p>
      <w:pPr>
        <w:pStyle w:val="Heading9"/>
      </w:pPr>
      <w:bookmarkStart w:id="91" w:name="Xce8fa8365ce60c173c7cf963ead1de6f5cbd7c4"/>
      <w:r>
        <w:t xml:space="preserve">DOC association with other water quality parameters</w:t>
      </w:r>
      <w:bookmarkEnd w:id="91"/>
    </w:p>
    <w:bookmarkStart w:id="98" w:name="refs"/>
    <w:bookmarkStart w:id="93"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92">
        <w:r>
          <w:rPr>
            <w:rStyle w:val="Hyperlink"/>
          </w:rPr>
          <w:t xml:space="preserve">https://doi.org/10.1007/sl0533-010-9416-7</w:t>
        </w:r>
      </w:hyperlink>
      <w:r>
        <w:t xml:space="preserve">.</w:t>
      </w:r>
    </w:p>
    <w:bookmarkEnd w:id="93"/>
    <w:bookmarkStart w:id="95"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94">
        <w:r>
          <w:rPr>
            <w:rStyle w:val="Hyperlink"/>
          </w:rPr>
          <w:t xml:space="preserve">https://www.jstor.org/stable/24702986</w:t>
        </w:r>
      </w:hyperlink>
      <w:r>
        <w:t xml:space="preserve">.</w:t>
      </w:r>
    </w:p>
    <w:bookmarkEnd w:id="95"/>
    <w:bookmarkStart w:id="97"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96">
        <w:r>
          <w:rPr>
            <w:rStyle w:val="Hyperlink"/>
          </w:rPr>
          <w:t xml:space="preserve">https://doi.org/10.1007/s11356-015-4078-6</w:t>
        </w:r>
      </w:hyperlink>
      <w:r>
        <w:t xml:space="preserve">.</w:t>
      </w:r>
    </w:p>
    <w:bookmarkEnd w:id="97"/>
    <w:bookmarkEnd w:id="98"/>
    <w:sectPr w:rsidR="007B57E6" w:rsidRPr="001469F7" w:rsidSect="002F162A">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3">
    <w:p>
      <w:pPr>
        <w:pStyle w:val="FootnoteText"/>
      </w:pPr>
      <w:r>
        <w:rPr>
          <w:rStyle w:val="FootnoteReference"/>
        </w:rPr>
        <w:footnoteRef/>
      </w:r>
      <w:r>
        <w:t xml:space="preserve"> </w:t>
      </w:r>
      <w:r>
        <w:t xml:space="preserve">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53">
    <w:p>
      <w:pPr>
        <w:pStyle w:val="FootnoteText"/>
      </w:pPr>
      <w:r>
        <w:rPr>
          <w:rStyle w:val="FootnoteReference"/>
        </w:rPr>
        <w:footnoteRef/>
      </w:r>
      <w:r>
        <w:t xml:space="preserve"> </w:t>
      </w:r>
      <w:r>
        <w:t xml:space="preserve">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60">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69" Target="media/rId69.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57" Target="media/rId57.png" /><Relationship Type="http://schemas.openxmlformats.org/officeDocument/2006/relationships/image" Id="rId41" Target="media/rId4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hyperlink" Id="rId96" Target="https://doi.org/10.1007/s11356-015-4078-6" TargetMode="External" /><Relationship Type="http://schemas.openxmlformats.org/officeDocument/2006/relationships/hyperlink" Id="rId92" Target="https://doi.org/10.1007/sl0533-010-9416-7" TargetMode="External" /><Relationship Type="http://schemas.openxmlformats.org/officeDocument/2006/relationships/hyperlink" Id="rId94" Target="https://www.jstor.org/stable/24702986" TargetMode="External" /></Relationships>
</file>

<file path=word/_rels/footnotes.xml.rels><?xml version="1.0" encoding="UTF-8"?>
<Relationships xmlns="http://schemas.openxmlformats.org/package/2006/relationships"><Relationship Type="http://schemas.openxmlformats.org/officeDocument/2006/relationships/hyperlink" Id="rId96" Target="https://doi.org/10.1007/s11356-015-4078-6" TargetMode="External" /><Relationship Type="http://schemas.openxmlformats.org/officeDocument/2006/relationships/hyperlink" Id="rId92" Target="https://doi.org/10.1007/sl0533-010-9416-7" TargetMode="External" /><Relationship Type="http://schemas.openxmlformats.org/officeDocument/2006/relationships/hyperlink" Id="rId94" Target="https://www.jstor.org/stable/24702986"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2020-06-22T19:51:13Z</dcterms:created>
  <dcterms:modified xsi:type="dcterms:W3CDTF">2020-06-22T19:51:13Z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